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0B2" w:rsidRPr="00830F9E" w:rsidRDefault="00B520B2" w:rsidP="00F57EDC">
      <w:pPr>
        <w:spacing w:after="160" w:line="259" w:lineRule="auto"/>
        <w:jc w:val="center"/>
        <w:rPr>
          <w:rFonts w:ascii="Arial Black" w:eastAsia="Times New Roman" w:hAnsi="Arial Black"/>
        </w:rPr>
      </w:pPr>
      <w:r w:rsidRPr="00830F9E">
        <w:rPr>
          <w:rFonts w:ascii="Arial Black" w:eastAsia="Times New Roman" w:hAnsi="Arial Black"/>
        </w:rPr>
        <w:t xml:space="preserve">8. </w:t>
      </w:r>
      <w:proofErr w:type="spellStart"/>
      <w:r w:rsidRPr="00830F9E">
        <w:rPr>
          <w:rFonts w:ascii="Arial Black" w:eastAsia="Times New Roman" w:hAnsi="Arial Black"/>
        </w:rPr>
        <w:t>b.</w:t>
      </w:r>
      <w:proofErr w:type="spellEnd"/>
      <w:r w:rsidR="00830F9E" w:rsidRPr="00830F9E">
        <w:rPr>
          <w:rFonts w:ascii="Arial Black" w:eastAsia="Times New Roman" w:hAnsi="Arial Black"/>
        </w:rPr>
        <w:t xml:space="preserve"> tétel</w:t>
      </w:r>
    </w:p>
    <w:p w:rsidR="00830F9E" w:rsidRPr="00830F9E" w:rsidRDefault="00830F9E" w:rsidP="00F57EDC">
      <w:pPr>
        <w:spacing w:after="160" w:line="259" w:lineRule="auto"/>
        <w:jc w:val="center"/>
        <w:rPr>
          <w:rFonts w:ascii="Arial Black" w:eastAsia="Times New Roman" w:hAnsi="Arial Black"/>
        </w:rPr>
      </w:pPr>
      <w:r w:rsidRPr="00830F9E">
        <w:rPr>
          <w:rFonts w:ascii="Arial Black" w:eastAsia="Times New Roman" w:hAnsi="Arial Black"/>
        </w:rPr>
        <w:t>Az Európai Unió létrejötte</w:t>
      </w:r>
    </w:p>
    <w:p w:rsidR="00B520B2" w:rsidRPr="00830F9E" w:rsidRDefault="00B520B2" w:rsidP="00F57EDC">
      <w:pPr>
        <w:widowControl/>
        <w:suppressAutoHyphens w:val="0"/>
        <w:spacing w:after="160" w:line="259" w:lineRule="auto"/>
        <w:rPr>
          <w:rFonts w:ascii="Arial Black" w:eastAsia="Calibri" w:hAnsi="Arial Black"/>
          <w:lang w:eastAsia="en-US"/>
        </w:rPr>
      </w:pPr>
      <w:r w:rsidRPr="00830F9E">
        <w:rPr>
          <w:rFonts w:ascii="Arial Black" w:eastAsia="Calibri" w:hAnsi="Arial Black"/>
          <w:lang w:eastAsia="en-US"/>
        </w:rPr>
        <w:t>Mik voltak az Európai Unió megalakulásának az előzményei?</w:t>
      </w:r>
    </w:p>
    <w:p w:rsidR="00B520B2" w:rsidRPr="00830F9E" w:rsidRDefault="00B520B2" w:rsidP="00F57EDC">
      <w:pPr>
        <w:widowControl/>
        <w:suppressAutoHyphens w:val="0"/>
        <w:spacing w:after="160" w:line="259" w:lineRule="auto"/>
        <w:rPr>
          <w:rFonts w:ascii="Arial Black" w:eastAsia="Calibri" w:hAnsi="Arial Black"/>
          <w:lang w:eastAsia="en-US"/>
        </w:rPr>
      </w:pPr>
      <w:r w:rsidRPr="00830F9E">
        <w:rPr>
          <w:rFonts w:ascii="Arial Black" w:eastAsia="Calibri" w:hAnsi="Arial Black"/>
          <w:lang w:eastAsia="en-US"/>
        </w:rPr>
        <w:t>Hogyan zajlott a bővülés folyamata?</w:t>
      </w:r>
    </w:p>
    <w:p w:rsidR="00F57EDC" w:rsidRDefault="00B520B2" w:rsidP="00F57EDC">
      <w:pPr>
        <w:widowControl/>
        <w:suppressAutoHyphens w:val="0"/>
        <w:spacing w:after="160" w:line="259" w:lineRule="auto"/>
        <w:rPr>
          <w:rFonts w:ascii="Arial Black" w:eastAsia="Calibri" w:hAnsi="Arial Black"/>
          <w:lang w:eastAsia="en-US"/>
        </w:rPr>
      </w:pPr>
      <w:r w:rsidRPr="00830F9E">
        <w:rPr>
          <w:rFonts w:ascii="Arial Black" w:eastAsia="Calibri" w:hAnsi="Arial Black"/>
          <w:lang w:eastAsia="en-US"/>
        </w:rPr>
        <w:t>Mutassa be az együttműködés legfontosabb területeit és az együttműködés hatásait!</w:t>
      </w:r>
    </w:p>
    <w:p w:rsidR="00F57EDC" w:rsidRDefault="00AC4240" w:rsidP="00F57EDC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Az Európai Unió kialakulásában szerepet játszótényezők</w:t>
      </w:r>
      <w:r w:rsidR="00F57EDC">
        <w:rPr>
          <w:rFonts w:ascii="Arial Black" w:hAnsi="Arial Black"/>
        </w:rPr>
        <w:t>:</w:t>
      </w:r>
    </w:p>
    <w:p w:rsidR="00F57EDC" w:rsidRDefault="005E5F83" w:rsidP="00F57EDC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 xml:space="preserve">A második világháború után felmerült az európai vezetőkben, hogy a kapcsolatot szorosabbá kellene tenni az országok között. Ennek a fő oka az volt, hogy az egyes országok </w:t>
      </w:r>
      <w:r w:rsidR="00AC4240" w:rsidRPr="00830F9E">
        <w:rPr>
          <w:rFonts w:ascii="Arial Black" w:hAnsi="Arial Black"/>
        </w:rPr>
        <w:t>eltérő adottságok</w:t>
      </w:r>
      <w:r w:rsidRPr="00830F9E">
        <w:rPr>
          <w:rFonts w:ascii="Arial Black" w:hAnsi="Arial Black"/>
        </w:rPr>
        <w:t>kal</w:t>
      </w:r>
      <w:r w:rsidR="00AC4240" w:rsidRPr="00830F9E">
        <w:rPr>
          <w:rFonts w:ascii="Arial Black" w:hAnsi="Arial Black"/>
        </w:rPr>
        <w:t xml:space="preserve"> és erőforrások</w:t>
      </w:r>
      <w:r w:rsidRPr="00830F9E">
        <w:rPr>
          <w:rFonts w:ascii="Arial Black" w:hAnsi="Arial Black"/>
        </w:rPr>
        <w:t>kal rendelkeztek</w:t>
      </w:r>
      <w:r w:rsidR="00AC4240" w:rsidRPr="00830F9E">
        <w:rPr>
          <w:rFonts w:ascii="Arial Black" w:hAnsi="Arial Black"/>
        </w:rPr>
        <w:t>. Az adottságok jobb kihasználásá</w:t>
      </w:r>
      <w:r w:rsidRPr="00830F9E">
        <w:rPr>
          <w:rFonts w:ascii="Arial Black" w:hAnsi="Arial Black"/>
        </w:rPr>
        <w:t>t segítené</w:t>
      </w:r>
      <w:r w:rsidR="00AC4240" w:rsidRPr="00830F9E">
        <w:rPr>
          <w:rFonts w:ascii="Arial Black" w:hAnsi="Arial Black"/>
        </w:rPr>
        <w:t xml:space="preserve"> az együttműködés.</w:t>
      </w:r>
    </w:p>
    <w:p w:rsidR="00332801" w:rsidRPr="00830F9E" w:rsidRDefault="005E5F83" w:rsidP="00F57EDC">
      <w:pPr>
        <w:widowControl/>
        <w:suppressAutoHyphens w:val="0"/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 xml:space="preserve">A </w:t>
      </w:r>
      <w:r w:rsidR="00332801" w:rsidRPr="00830F9E">
        <w:rPr>
          <w:rFonts w:ascii="Arial Black" w:hAnsi="Arial Black"/>
        </w:rPr>
        <w:t>Benelux államok</w:t>
      </w:r>
      <w:r w:rsidRPr="00830F9E">
        <w:rPr>
          <w:rFonts w:ascii="Arial Black" w:hAnsi="Arial Black"/>
        </w:rPr>
        <w:t xml:space="preserve"> (Belgium, Hollandia, Luxemburg) </w:t>
      </w:r>
      <w:r w:rsidR="00F57EDC">
        <w:rPr>
          <w:rFonts w:ascii="Arial Black" w:hAnsi="Arial Black"/>
        </w:rPr>
        <w:t xml:space="preserve">– </w:t>
      </w:r>
      <w:r w:rsidR="00332801" w:rsidRPr="00830F9E">
        <w:rPr>
          <w:rFonts w:ascii="Arial Black" w:hAnsi="Arial Black"/>
        </w:rPr>
        <w:t>kis</w:t>
      </w:r>
      <w:r w:rsidR="00F57EDC">
        <w:rPr>
          <w:rFonts w:ascii="Arial Black" w:hAnsi="Arial Black"/>
        </w:rPr>
        <w:t xml:space="preserve"> </w:t>
      </w:r>
      <w:r w:rsidR="00332801" w:rsidRPr="00830F9E">
        <w:rPr>
          <w:rFonts w:ascii="Arial Black" w:hAnsi="Arial Black"/>
        </w:rPr>
        <w:t>országok, közel fe</w:t>
      </w:r>
      <w:r w:rsidRPr="00830F9E">
        <w:rPr>
          <w:rFonts w:ascii="Arial Black" w:hAnsi="Arial Black"/>
        </w:rPr>
        <w:t>kszenek egymáshoz, köztük korábban is volt együttműködés.</w:t>
      </w:r>
    </w:p>
    <w:p w:rsidR="00332801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 xml:space="preserve">1951-ben létrejött a </w:t>
      </w:r>
      <w:proofErr w:type="spellStart"/>
      <w:r w:rsidR="00332801" w:rsidRPr="00830F9E">
        <w:rPr>
          <w:rFonts w:ascii="Arial Black" w:hAnsi="Arial Black"/>
        </w:rPr>
        <w:t>Montán</w:t>
      </w:r>
      <w:proofErr w:type="spellEnd"/>
      <w:r w:rsidR="00332801" w:rsidRPr="00830F9E">
        <w:rPr>
          <w:rFonts w:ascii="Arial Black" w:hAnsi="Arial Black"/>
        </w:rPr>
        <w:t xml:space="preserve"> </w:t>
      </w:r>
      <w:proofErr w:type="spellStart"/>
      <w:r w:rsidR="00332801" w:rsidRPr="00830F9E">
        <w:rPr>
          <w:rFonts w:ascii="Arial Black" w:hAnsi="Arial Black"/>
        </w:rPr>
        <w:t>Unio</w:t>
      </w:r>
      <w:proofErr w:type="spellEnd"/>
      <w:r w:rsidRPr="00830F9E">
        <w:rPr>
          <w:rFonts w:ascii="Arial Black" w:hAnsi="Arial Black"/>
        </w:rPr>
        <w:t xml:space="preserve"> </w:t>
      </w:r>
      <w:r w:rsidR="00332801" w:rsidRPr="00830F9E">
        <w:rPr>
          <w:rFonts w:ascii="Arial Black" w:hAnsi="Arial Black"/>
        </w:rPr>
        <w:t>Németország és Franciaország között: Németország rendelkez</w:t>
      </w:r>
      <w:r w:rsidRPr="00830F9E">
        <w:rPr>
          <w:rFonts w:ascii="Arial Black" w:hAnsi="Arial Black"/>
        </w:rPr>
        <w:t>ett</w:t>
      </w:r>
      <w:r w:rsidR="00332801" w:rsidRPr="00830F9E">
        <w:rPr>
          <w:rFonts w:ascii="Arial Black" w:hAnsi="Arial Black"/>
        </w:rPr>
        <w:t xml:space="preserve"> feketeszénnel, Franciaország vasérccel. A kohászathoz mindkettő kell.</w:t>
      </w:r>
    </w:p>
    <w:p w:rsidR="005E5F83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Az együttműködésnek gazdasági és politikai okai is voltak.</w:t>
      </w:r>
      <w:r w:rsidR="00AC4240" w:rsidRPr="00830F9E">
        <w:rPr>
          <w:rFonts w:ascii="Arial Black" w:hAnsi="Arial Black"/>
        </w:rPr>
        <w:t xml:space="preserve"> </w:t>
      </w:r>
    </w:p>
    <w:p w:rsidR="00A84CA7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 xml:space="preserve">Az együttműködés lehetővé tette, hogy nagyobb mennyiségű </w:t>
      </w:r>
      <w:proofErr w:type="gramStart"/>
      <w:r w:rsidRPr="00830F9E">
        <w:rPr>
          <w:rFonts w:ascii="Arial Black" w:hAnsi="Arial Black"/>
        </w:rPr>
        <w:t>árút</w:t>
      </w:r>
      <w:proofErr w:type="gramEnd"/>
      <w:r w:rsidRPr="00830F9E">
        <w:rPr>
          <w:rFonts w:ascii="Arial Black" w:hAnsi="Arial Black"/>
        </w:rPr>
        <w:t xml:space="preserve"> állítsanak elő olcsóbban, nagyobb piac számára. </w:t>
      </w:r>
      <w:r w:rsidR="00A84CA7" w:rsidRPr="00830F9E">
        <w:rPr>
          <w:rFonts w:ascii="Arial Black" w:hAnsi="Arial Black"/>
        </w:rPr>
        <w:t>A kutatás és fejlesztés, az infrastrukturális fejlesztés költségei az együttműködés hatására megoszlottak, minde</w:t>
      </w:r>
      <w:r w:rsidR="00F57EDC">
        <w:rPr>
          <w:rFonts w:ascii="Arial Black" w:hAnsi="Arial Black"/>
        </w:rPr>
        <w:t>n</w:t>
      </w:r>
      <w:r w:rsidR="00A84CA7" w:rsidRPr="00830F9E">
        <w:rPr>
          <w:rFonts w:ascii="Arial Black" w:hAnsi="Arial Black"/>
        </w:rPr>
        <w:t xml:space="preserve"> tagországnak kevesebbe kerültek.</w:t>
      </w:r>
    </w:p>
    <w:p w:rsidR="00AC4240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 xml:space="preserve">Politikai oka az volt, hogy az </w:t>
      </w:r>
      <w:r w:rsidR="00AC4240" w:rsidRPr="00830F9E">
        <w:rPr>
          <w:rFonts w:ascii="Arial Black" w:hAnsi="Arial Black"/>
        </w:rPr>
        <w:t>USA gazdasági,</w:t>
      </w:r>
      <w:r w:rsidRPr="00830F9E">
        <w:rPr>
          <w:rFonts w:ascii="Arial Black" w:hAnsi="Arial Black"/>
        </w:rPr>
        <w:t xml:space="preserve"> </w:t>
      </w:r>
      <w:r w:rsidR="00AC4240" w:rsidRPr="00830F9E">
        <w:rPr>
          <w:rFonts w:ascii="Arial Black" w:hAnsi="Arial Black"/>
        </w:rPr>
        <w:t>politi</w:t>
      </w:r>
      <w:r w:rsidR="0045549D" w:rsidRPr="00830F9E">
        <w:rPr>
          <w:rFonts w:ascii="Arial Black" w:hAnsi="Arial Black"/>
        </w:rPr>
        <w:t>kai befolyás</w:t>
      </w:r>
      <w:r w:rsidRPr="00830F9E">
        <w:rPr>
          <w:rFonts w:ascii="Arial Black" w:hAnsi="Arial Black"/>
        </w:rPr>
        <w:t xml:space="preserve">a </w:t>
      </w:r>
      <w:r w:rsidR="0045549D" w:rsidRPr="00830F9E">
        <w:rPr>
          <w:rFonts w:ascii="Arial Black" w:hAnsi="Arial Black"/>
        </w:rPr>
        <w:t>növeked</w:t>
      </w:r>
      <w:r w:rsidRPr="00830F9E">
        <w:rPr>
          <w:rFonts w:ascii="Arial Black" w:hAnsi="Arial Black"/>
        </w:rPr>
        <w:t>ett a 2. világháború után, a</w:t>
      </w:r>
      <w:r w:rsidR="0045549D" w:rsidRPr="00830F9E">
        <w:rPr>
          <w:rFonts w:ascii="Arial Black" w:hAnsi="Arial Black"/>
        </w:rPr>
        <w:t xml:space="preserve"> S</w:t>
      </w:r>
      <w:r w:rsidR="00AC4240" w:rsidRPr="00830F9E">
        <w:rPr>
          <w:rFonts w:ascii="Arial Black" w:hAnsi="Arial Black"/>
        </w:rPr>
        <w:t>zovjetunió katonai</w:t>
      </w:r>
      <w:r w:rsidRPr="00830F9E">
        <w:rPr>
          <w:rFonts w:ascii="Arial Black" w:hAnsi="Arial Black"/>
        </w:rPr>
        <w:t>lag</w:t>
      </w:r>
      <w:r w:rsidR="00AC4240" w:rsidRPr="00830F9E">
        <w:rPr>
          <w:rFonts w:ascii="Arial Black" w:hAnsi="Arial Black"/>
        </w:rPr>
        <w:t xml:space="preserve"> megerősöd</w:t>
      </w:r>
      <w:r w:rsidRPr="00830F9E">
        <w:rPr>
          <w:rFonts w:ascii="Arial Black" w:hAnsi="Arial Black"/>
        </w:rPr>
        <w:t>ött</w:t>
      </w:r>
      <w:r w:rsidR="00AC4240" w:rsidRPr="00830F9E">
        <w:rPr>
          <w:rFonts w:ascii="Arial Black" w:hAnsi="Arial Black"/>
        </w:rPr>
        <w:t>.</w:t>
      </w:r>
      <w:r w:rsidR="0045549D" w:rsidRPr="00830F9E">
        <w:rPr>
          <w:rFonts w:ascii="Arial Black" w:hAnsi="Arial Black"/>
        </w:rPr>
        <w:t xml:space="preserve"> </w:t>
      </w:r>
      <w:r w:rsidR="00A84CA7" w:rsidRPr="00830F9E">
        <w:rPr>
          <w:rFonts w:ascii="Arial Black" w:hAnsi="Arial Black"/>
        </w:rPr>
        <w:t>Az európai országok elvesztették a g</w:t>
      </w:r>
      <w:r w:rsidR="00AC4240" w:rsidRPr="00830F9E">
        <w:rPr>
          <w:rFonts w:ascii="Arial Black" w:hAnsi="Arial Black"/>
        </w:rPr>
        <w:t>yarmatbirodalmak</w:t>
      </w:r>
      <w:r w:rsidR="00A84CA7" w:rsidRPr="00830F9E">
        <w:rPr>
          <w:rFonts w:ascii="Arial Black" w:hAnsi="Arial Black"/>
        </w:rPr>
        <w:t>at.</w:t>
      </w:r>
    </w:p>
    <w:p w:rsidR="00F57EDC" w:rsidRPr="00F57EDC" w:rsidRDefault="00332801" w:rsidP="00F57EDC">
      <w:pPr>
        <w:spacing w:after="160" w:line="259" w:lineRule="auto"/>
        <w:rPr>
          <w:rFonts w:ascii="Arial Black" w:hAnsi="Arial Black"/>
          <w:u w:val="single"/>
        </w:rPr>
      </w:pPr>
      <w:r w:rsidRPr="00F57EDC">
        <w:rPr>
          <w:rFonts w:ascii="Arial Black" w:hAnsi="Arial Black"/>
          <w:u w:val="thick"/>
        </w:rPr>
        <w:t>Az EU megalakulása és bővülése</w:t>
      </w:r>
      <w:r w:rsidR="00F57EDC">
        <w:rPr>
          <w:rFonts w:ascii="Arial Black" w:hAnsi="Arial Black"/>
        </w:rPr>
        <w:t>:</w:t>
      </w:r>
    </w:p>
    <w:p w:rsidR="00332801" w:rsidRDefault="00332801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1957. Európai Gazdasági Közösség: Belgium, Hollandia, Luxemburg, Német Szövetségi Köztársaság, Olaszország, Franciaország – vámunió, belső vámok leépítése</w:t>
      </w:r>
    </w:p>
    <w:p w:rsidR="00CF3606" w:rsidRPr="00830F9E" w:rsidRDefault="00CF3606" w:rsidP="00F57EDC">
      <w:pPr>
        <w:spacing w:after="160" w:line="259" w:lineRule="auto"/>
        <w:rPr>
          <w:rFonts w:ascii="Arial Black" w:hAnsi="Arial Black"/>
        </w:rPr>
      </w:pPr>
    </w:p>
    <w:p w:rsidR="00233976" w:rsidRPr="00830F9E" w:rsidRDefault="00332801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lastRenderedPageBreak/>
        <w:t>Bővülés</w:t>
      </w:r>
      <w:r w:rsidRPr="00830F9E">
        <w:rPr>
          <w:rFonts w:ascii="Arial Black" w:hAnsi="Arial Black"/>
        </w:rPr>
        <w:t>:</w:t>
      </w:r>
    </w:p>
    <w:p w:rsidR="00233976" w:rsidRPr="00830F9E" w:rsidRDefault="00233976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1973. Dánia, Írország, Nagy-Britannia</w:t>
      </w:r>
    </w:p>
    <w:p w:rsidR="00233976" w:rsidRPr="00830F9E" w:rsidRDefault="00233976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1981. Görögország</w:t>
      </w:r>
    </w:p>
    <w:p w:rsidR="00233976" w:rsidRPr="00830F9E" w:rsidRDefault="00233976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1986. Spanyolország és Portugália</w:t>
      </w:r>
    </w:p>
    <w:p w:rsidR="00332801" w:rsidRPr="00830F9E" w:rsidRDefault="00233976" w:rsidP="00F57EDC">
      <w:pPr>
        <w:spacing w:after="160" w:line="259" w:lineRule="auto"/>
        <w:rPr>
          <w:rFonts w:ascii="Arial Black" w:hAnsi="Arial Black"/>
          <w:u w:val="thick"/>
        </w:rPr>
      </w:pPr>
      <w:r w:rsidRPr="00830F9E">
        <w:rPr>
          <w:rFonts w:ascii="Arial Black" w:hAnsi="Arial Black"/>
          <w:u w:val="thick"/>
        </w:rPr>
        <w:t>1994-től Európai Unió</w:t>
      </w:r>
    </w:p>
    <w:p w:rsidR="00233976" w:rsidRPr="00830F9E" w:rsidRDefault="00233976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1995. Ausztria, Finnország, Svédország</w:t>
      </w:r>
    </w:p>
    <w:p w:rsidR="00233976" w:rsidRPr="00830F9E" w:rsidRDefault="00233976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2004. Ciprus, Csehország, Észtország, Lengyelország, Lettország, Litvánia, Magyarország, Málta, Szlovákia és Szlovénia</w:t>
      </w:r>
    </w:p>
    <w:p w:rsidR="00653CDA" w:rsidRPr="00830F9E" w:rsidRDefault="00653CDA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2007. Románia, Bulgária</w:t>
      </w:r>
    </w:p>
    <w:p w:rsidR="005E5F83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2013. Horvátország</w:t>
      </w:r>
    </w:p>
    <w:p w:rsidR="005E5F83" w:rsidRPr="00830F9E" w:rsidRDefault="005E5F83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</w:rPr>
        <w:t>2020. Nagy-Britannia kilépett (Brexit)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  <w:u w:val="single"/>
        </w:rPr>
      </w:pPr>
      <w:r w:rsidRPr="00F57EDC">
        <w:rPr>
          <w:rFonts w:ascii="Arial Black" w:hAnsi="Arial Black"/>
          <w:u w:val="thick"/>
        </w:rPr>
        <w:t xml:space="preserve">Az </w:t>
      </w:r>
      <w:proofErr w:type="spellStart"/>
      <w:r w:rsidRPr="00F57EDC">
        <w:rPr>
          <w:rFonts w:ascii="Arial Black" w:hAnsi="Arial Black"/>
          <w:u w:val="thick"/>
        </w:rPr>
        <w:t>együttűködés</w:t>
      </w:r>
      <w:proofErr w:type="spellEnd"/>
      <w:r w:rsidRPr="00F57EDC">
        <w:rPr>
          <w:rFonts w:ascii="Arial Black" w:hAnsi="Arial Black"/>
          <w:u w:val="thick"/>
        </w:rPr>
        <w:t xml:space="preserve"> legfontosabb területei</w:t>
      </w:r>
      <w:r w:rsidR="00F57EDC">
        <w:rPr>
          <w:rFonts w:ascii="Arial Black" w:hAnsi="Arial Black"/>
        </w:rPr>
        <w:t>: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A közös vámpolitika</w:t>
      </w:r>
      <w:r w:rsidR="00F57EDC">
        <w:rPr>
          <w:rFonts w:ascii="Arial Black" w:hAnsi="Arial Black"/>
        </w:rPr>
        <w:t xml:space="preserve">: </w:t>
      </w:r>
      <w:r w:rsidRPr="00F57EDC">
        <w:rPr>
          <w:rFonts w:ascii="Arial Black" w:hAnsi="Arial Black"/>
        </w:rPr>
        <w:t>belső</w:t>
      </w:r>
      <w:r w:rsidRPr="00830F9E">
        <w:rPr>
          <w:rFonts w:ascii="Arial Black" w:hAnsi="Arial Black"/>
        </w:rPr>
        <w:t xml:space="preserve"> vámok eltörlése,</w:t>
      </w:r>
      <w:r w:rsidR="00A84CA7" w:rsidRPr="00830F9E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egységes vámrendszer a nem tagországokkal szemben</w:t>
      </w:r>
      <w:r w:rsidR="00F57EDC">
        <w:rPr>
          <w:rFonts w:ascii="Arial Black" w:hAnsi="Arial Black"/>
        </w:rPr>
        <w:t>,</w:t>
      </w:r>
      <w:r w:rsidRPr="00830F9E">
        <w:rPr>
          <w:rFonts w:ascii="Arial Black" w:hAnsi="Arial Black"/>
        </w:rPr>
        <w:t xml:space="preserve"> ami az egységes belső piac kialakítását teszi lehetővé.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A tőke és a munkaerő szabad áramlása</w:t>
      </w:r>
      <w:r w:rsidR="00F57EDC">
        <w:rPr>
          <w:rFonts w:ascii="Arial Black" w:hAnsi="Arial Black"/>
        </w:rPr>
        <w:t xml:space="preserve">: </w:t>
      </w:r>
      <w:r w:rsidRPr="00830F9E">
        <w:rPr>
          <w:rFonts w:ascii="Arial Black" w:hAnsi="Arial Black"/>
        </w:rPr>
        <w:t>beruházások lehetősége az integráció bármely országában</w:t>
      </w:r>
      <w:r w:rsidR="00F57EDC">
        <w:rPr>
          <w:rFonts w:ascii="Arial Black" w:hAnsi="Arial Black"/>
        </w:rPr>
        <w:t>,</w:t>
      </w:r>
      <w:r w:rsidRPr="00830F9E">
        <w:rPr>
          <w:rFonts w:ascii="Arial Black" w:hAnsi="Arial Black"/>
        </w:rPr>
        <w:t xml:space="preserve"> ami lehetővé teszi a kedvezőbb feltételek kihasználását.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Közös gazdaságpolitika</w:t>
      </w:r>
      <w:r w:rsidR="00F57EDC">
        <w:rPr>
          <w:rFonts w:ascii="Arial Black" w:hAnsi="Arial Black"/>
        </w:rPr>
        <w:t xml:space="preserve">: </w:t>
      </w:r>
      <w:r w:rsidRPr="00830F9E">
        <w:rPr>
          <w:rFonts w:ascii="Arial Black" w:hAnsi="Arial Black"/>
        </w:rPr>
        <w:t>a nagyobb belső piac nyújtotta előnyök jobb kihasználtsága, a nemzeti fejlesztési programok összehangolása, a gazdasági együttműködés elmélyítése. Közös pénz</w:t>
      </w:r>
      <w:r w:rsidR="00F57EDC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(euró)</w:t>
      </w:r>
      <w:r w:rsidR="00F57EDC">
        <w:rPr>
          <w:rFonts w:ascii="Arial Black" w:hAnsi="Arial Black"/>
        </w:rPr>
        <w:t xml:space="preserve"> ► </w:t>
      </w:r>
      <w:r w:rsidRPr="00830F9E">
        <w:rPr>
          <w:rFonts w:ascii="Arial Black" w:hAnsi="Arial Black"/>
        </w:rPr>
        <w:t>összemérhetőség,</w:t>
      </w:r>
      <w:r w:rsidR="00A84CA7" w:rsidRPr="00830F9E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könnyebb elszámolás</w:t>
      </w:r>
      <w:r w:rsidR="00F57EDC">
        <w:rPr>
          <w:rFonts w:ascii="Arial Black" w:hAnsi="Arial Black"/>
        </w:rPr>
        <w:t>.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A mezőgazdasági termelés összehangolása</w:t>
      </w:r>
      <w:r w:rsidR="00F57EDC">
        <w:rPr>
          <w:rFonts w:ascii="Arial Black" w:hAnsi="Arial Black"/>
        </w:rPr>
        <w:t xml:space="preserve">: </w:t>
      </w:r>
      <w:r w:rsidRPr="00830F9E">
        <w:rPr>
          <w:rFonts w:ascii="Arial Black" w:hAnsi="Arial Black"/>
        </w:rPr>
        <w:t>a belső termelés védelme,</w:t>
      </w:r>
      <w:r w:rsidR="00A84CA7" w:rsidRPr="00830F9E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támogatási-értékelési rendszerek kidolgozása</w:t>
      </w:r>
      <w:r w:rsidR="00CF3606">
        <w:rPr>
          <w:rFonts w:ascii="Arial Black" w:hAnsi="Arial Black"/>
        </w:rPr>
        <w:t>.</w:t>
      </w:r>
    </w:p>
    <w:p w:rsidR="00AC4240" w:rsidRPr="00830F9E" w:rsidRDefault="00AC4240" w:rsidP="00F57EDC">
      <w:pPr>
        <w:spacing w:after="160" w:line="259" w:lineRule="auto"/>
        <w:rPr>
          <w:rFonts w:ascii="Arial Black" w:hAnsi="Arial Black"/>
        </w:rPr>
      </w:pPr>
      <w:r w:rsidRPr="00F57EDC">
        <w:rPr>
          <w:rFonts w:ascii="Arial Black" w:hAnsi="Arial Black"/>
          <w:u w:val="thick"/>
        </w:rPr>
        <w:t>A kutatás, fejlesztés és az oktatás összehangolása</w:t>
      </w:r>
      <w:r w:rsidRPr="00830F9E">
        <w:rPr>
          <w:rFonts w:ascii="Arial Black" w:hAnsi="Arial Black"/>
        </w:rPr>
        <w:t>: közös fejlesztési programok kidolgozása,</w:t>
      </w:r>
      <w:r w:rsidR="00A84CA7" w:rsidRPr="00830F9E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költségek megosztása</w:t>
      </w:r>
      <w:r w:rsidR="00CF3606">
        <w:rPr>
          <w:rFonts w:ascii="Arial Black" w:hAnsi="Arial Black"/>
        </w:rPr>
        <w:t>.</w:t>
      </w:r>
    </w:p>
    <w:p w:rsidR="00AC4240" w:rsidRDefault="00AC4240" w:rsidP="00F57EDC">
      <w:pPr>
        <w:spacing w:after="160" w:line="259" w:lineRule="auto"/>
        <w:rPr>
          <w:rFonts w:ascii="Arial Black" w:hAnsi="Arial Black"/>
        </w:rPr>
      </w:pPr>
      <w:r w:rsidRPr="00CF3606">
        <w:rPr>
          <w:rFonts w:ascii="Arial Black" w:hAnsi="Arial Black"/>
          <w:u w:val="thick"/>
        </w:rPr>
        <w:t>A területi fejlettségi különbségek felszámolása</w:t>
      </w:r>
      <w:r w:rsidR="00CF3606">
        <w:rPr>
          <w:rFonts w:ascii="Arial Black" w:hAnsi="Arial Black"/>
        </w:rPr>
        <w:t xml:space="preserve">: </w:t>
      </w:r>
      <w:r w:rsidRPr="00830F9E">
        <w:rPr>
          <w:rFonts w:ascii="Arial Black" w:hAnsi="Arial Black"/>
        </w:rPr>
        <w:t>a felzárkózást segítő támogatási rendszer kiépítése</w:t>
      </w:r>
      <w:r w:rsidR="00CF3606">
        <w:rPr>
          <w:rFonts w:ascii="Arial Black" w:hAnsi="Arial Black"/>
        </w:rPr>
        <w:t xml:space="preserve"> ►</w:t>
      </w:r>
      <w:r w:rsidRPr="00830F9E">
        <w:rPr>
          <w:rFonts w:ascii="Arial Black" w:hAnsi="Arial Black"/>
        </w:rPr>
        <w:t xml:space="preserve"> az újonnan csatlakozók felzárkózási lehetősége</w:t>
      </w:r>
      <w:r w:rsidR="00A84CA7" w:rsidRPr="00830F9E">
        <w:rPr>
          <w:rFonts w:ascii="Arial Black" w:hAnsi="Arial Black"/>
        </w:rPr>
        <w:t xml:space="preserve"> </w:t>
      </w:r>
      <w:r w:rsidRPr="00830F9E">
        <w:rPr>
          <w:rFonts w:ascii="Arial Black" w:hAnsi="Arial Black"/>
        </w:rPr>
        <w:t>(regionális politika)</w:t>
      </w:r>
      <w:r w:rsidR="00CF3606">
        <w:rPr>
          <w:rFonts w:ascii="Arial Black" w:hAnsi="Arial Black"/>
        </w:rPr>
        <w:t>.</w:t>
      </w:r>
    </w:p>
    <w:p w:rsidR="00CF3606" w:rsidRPr="00830F9E" w:rsidRDefault="00CF3606" w:rsidP="00F57EDC">
      <w:pPr>
        <w:spacing w:after="160" w:line="259" w:lineRule="auto"/>
        <w:rPr>
          <w:rFonts w:ascii="Arial Black" w:hAnsi="Arial Black"/>
        </w:rPr>
      </w:pPr>
    </w:p>
    <w:p w:rsidR="00EA43FA" w:rsidRPr="00830F9E" w:rsidRDefault="00D83BF4" w:rsidP="00F57EDC">
      <w:pPr>
        <w:spacing w:after="160" w:line="259" w:lineRule="auto"/>
        <w:rPr>
          <w:rFonts w:ascii="Arial Black" w:hAnsi="Arial Black"/>
          <w:u w:val="single"/>
        </w:rPr>
      </w:pPr>
      <w:r w:rsidRPr="00CF3606">
        <w:rPr>
          <w:rFonts w:ascii="Arial Black" w:hAnsi="Arial Black"/>
          <w:u w:val="thick"/>
        </w:rPr>
        <w:lastRenderedPageBreak/>
        <w:t>Hatása</w:t>
      </w:r>
    </w:p>
    <w:p w:rsidR="00D83BF4" w:rsidRPr="00830F9E" w:rsidRDefault="00D83BF4" w:rsidP="00F57EDC">
      <w:pPr>
        <w:pStyle w:val="Listaszerbekezds"/>
        <w:numPr>
          <w:ilvl w:val="0"/>
          <w:numId w:val="3"/>
        </w:numPr>
        <w:spacing w:after="160" w:line="259" w:lineRule="auto"/>
        <w:contextualSpacing w:val="0"/>
        <w:rPr>
          <w:rFonts w:ascii="Arial Black" w:hAnsi="Arial Black"/>
        </w:rPr>
      </w:pPr>
      <w:r w:rsidRPr="00830F9E">
        <w:rPr>
          <w:rFonts w:ascii="Arial Black" w:hAnsi="Arial Black"/>
        </w:rPr>
        <w:t>Nagyobb piac</w:t>
      </w:r>
    </w:p>
    <w:p w:rsidR="00D83BF4" w:rsidRPr="00830F9E" w:rsidRDefault="00D83BF4" w:rsidP="00F57EDC">
      <w:pPr>
        <w:pStyle w:val="Listaszerbekezds"/>
        <w:numPr>
          <w:ilvl w:val="0"/>
          <w:numId w:val="3"/>
        </w:numPr>
        <w:spacing w:after="160" w:line="259" w:lineRule="auto"/>
        <w:contextualSpacing w:val="0"/>
        <w:rPr>
          <w:rFonts w:ascii="Arial Black" w:hAnsi="Arial Black"/>
        </w:rPr>
      </w:pPr>
      <w:r w:rsidRPr="00830F9E">
        <w:rPr>
          <w:rFonts w:ascii="Arial Black" w:hAnsi="Arial Black"/>
        </w:rPr>
        <w:t>Hatékonyabb kutatás-fejlesztés, ipari termelés – költségek megoszlanak</w:t>
      </w:r>
    </w:p>
    <w:p w:rsidR="00D83BF4" w:rsidRPr="00830F9E" w:rsidRDefault="00D83BF4" w:rsidP="00F57EDC">
      <w:pPr>
        <w:pStyle w:val="Listaszerbekezds"/>
        <w:numPr>
          <w:ilvl w:val="0"/>
          <w:numId w:val="3"/>
        </w:numPr>
        <w:spacing w:after="160" w:line="259" w:lineRule="auto"/>
        <w:contextualSpacing w:val="0"/>
        <w:rPr>
          <w:rFonts w:ascii="Arial Black" w:hAnsi="Arial Black"/>
        </w:rPr>
      </w:pPr>
      <w:r w:rsidRPr="00830F9E">
        <w:rPr>
          <w:rFonts w:ascii="Arial Black" w:hAnsi="Arial Black"/>
        </w:rPr>
        <w:t>Támogatások – Európai Kohéziós Alap</w:t>
      </w:r>
    </w:p>
    <w:p w:rsidR="00D83BF4" w:rsidRPr="00830F9E" w:rsidRDefault="00D83BF4" w:rsidP="00F57EDC">
      <w:pPr>
        <w:pStyle w:val="Listaszerbekezds"/>
        <w:numPr>
          <w:ilvl w:val="0"/>
          <w:numId w:val="3"/>
        </w:numPr>
        <w:spacing w:after="160" w:line="259" w:lineRule="auto"/>
        <w:contextualSpacing w:val="0"/>
        <w:rPr>
          <w:rFonts w:ascii="Arial Black" w:hAnsi="Arial Black"/>
        </w:rPr>
      </w:pPr>
      <w:r w:rsidRPr="00830F9E">
        <w:rPr>
          <w:rFonts w:ascii="Arial Black" w:hAnsi="Arial Black"/>
        </w:rPr>
        <w:t>Cégalapítás, tanulás, munkavállalás, szolgáltatások használata az EU-n belüli más országokban</w:t>
      </w:r>
    </w:p>
    <w:p w:rsidR="00830F9E" w:rsidRPr="00830F9E" w:rsidRDefault="00D83BF4" w:rsidP="00F57EDC">
      <w:pPr>
        <w:pStyle w:val="Listaszerbekezds"/>
        <w:numPr>
          <w:ilvl w:val="0"/>
          <w:numId w:val="3"/>
        </w:numPr>
        <w:spacing w:after="160" w:line="259" w:lineRule="auto"/>
        <w:contextualSpacing w:val="0"/>
        <w:rPr>
          <w:rFonts w:ascii="Arial Black" w:hAnsi="Arial Black"/>
        </w:rPr>
      </w:pPr>
      <w:r w:rsidRPr="00830F9E">
        <w:rPr>
          <w:rFonts w:ascii="Arial Black" w:hAnsi="Arial Black"/>
        </w:rPr>
        <w:t>EU gazdasági válsága kihat a tagországok nemzetgazdaságaira is</w:t>
      </w:r>
    </w:p>
    <w:p w:rsidR="00A84CA7" w:rsidRDefault="007215E4" w:rsidP="00F57EDC">
      <w:pPr>
        <w:tabs>
          <w:tab w:val="left" w:pos="4536"/>
        </w:tabs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  <w:noProof/>
        </w:rPr>
        <w:drawing>
          <wp:inline distT="0" distB="0" distL="0" distR="0">
            <wp:extent cx="5930900" cy="4457700"/>
            <wp:effectExtent l="0" t="0" r="0" b="0"/>
            <wp:docPr id="2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7" t="-4415" r="3267" b="4415"/>
                    <a:stretch/>
                  </pic:blipFill>
                  <pic:spPr bwMode="auto">
                    <a:xfrm>
                      <a:off x="0" y="0"/>
                      <a:ext cx="59309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0F9E" w:rsidRPr="00830F9E" w:rsidRDefault="00830F9E" w:rsidP="00F57EDC">
      <w:pPr>
        <w:tabs>
          <w:tab w:val="left" w:pos="4536"/>
        </w:tabs>
        <w:spacing w:after="160" w:line="259" w:lineRule="auto"/>
        <w:rPr>
          <w:rFonts w:ascii="Arial Black" w:hAnsi="Arial Black"/>
        </w:rPr>
      </w:pPr>
    </w:p>
    <w:p w:rsidR="00A84CA7" w:rsidRPr="00830F9E" w:rsidRDefault="007215E4" w:rsidP="00F57EDC">
      <w:pPr>
        <w:spacing w:after="160" w:line="259" w:lineRule="auto"/>
        <w:rPr>
          <w:rFonts w:ascii="Arial Black" w:hAnsi="Arial Black"/>
        </w:rPr>
      </w:pPr>
      <w:r w:rsidRPr="00830F9E">
        <w:rPr>
          <w:rFonts w:ascii="Arial Black" w:hAnsi="Arial Black"/>
          <w:noProof/>
        </w:rPr>
        <w:lastRenderedPageBreak/>
        <w:drawing>
          <wp:inline distT="0" distB="0" distL="0" distR="0">
            <wp:extent cx="5761355" cy="3529965"/>
            <wp:effectExtent l="0" t="0" r="0" b="0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52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CA7" w:rsidRPr="00830F9E" w:rsidSect="00830F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06A97"/>
    <w:multiLevelType w:val="hybridMultilevel"/>
    <w:tmpl w:val="D6D0A0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01689"/>
    <w:multiLevelType w:val="hybridMultilevel"/>
    <w:tmpl w:val="08526EBC"/>
    <w:lvl w:ilvl="0" w:tplc="0442D56C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1783"/>
    <w:multiLevelType w:val="hybridMultilevel"/>
    <w:tmpl w:val="046AD90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240"/>
    <w:rsid w:val="00065254"/>
    <w:rsid w:val="00094182"/>
    <w:rsid w:val="001E37E5"/>
    <w:rsid w:val="00233976"/>
    <w:rsid w:val="00332801"/>
    <w:rsid w:val="0045549D"/>
    <w:rsid w:val="00514035"/>
    <w:rsid w:val="005E5F83"/>
    <w:rsid w:val="00653CDA"/>
    <w:rsid w:val="007215E4"/>
    <w:rsid w:val="007B256D"/>
    <w:rsid w:val="00830F9E"/>
    <w:rsid w:val="00A84CA7"/>
    <w:rsid w:val="00AC4240"/>
    <w:rsid w:val="00B520B2"/>
    <w:rsid w:val="00C07AC4"/>
    <w:rsid w:val="00CE4C62"/>
    <w:rsid w:val="00CF3606"/>
    <w:rsid w:val="00D83BF4"/>
    <w:rsid w:val="00EA43FA"/>
    <w:rsid w:val="00F5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AE728"/>
  <w15:chartTrackingRefBased/>
  <w15:docId w15:val="{C2750608-382C-4536-9598-CBF645B6F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sid w:val="00AC4240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3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0DF20EDF6B3BC47A778D12174668569" ma:contentTypeVersion="0" ma:contentTypeDescription="Új dokumentum létrehozása." ma:contentTypeScope="" ma:versionID="cf1a870a6517f20436ac8a0efffed3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d3a8795088ca1b8cd07b84a4d91c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F75D91-1400-4050-9AF7-2222D428FB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416DE5-36F4-452B-8022-C46D4AD19B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17B0DF-354B-4977-82F7-EF94E4761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402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2a) Mutassa be a levegő felmelegedésének folyamatát, térjen ki a felmelegedést módosító tényezők szerepére</vt:lpstr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2a) Mutassa be a levegő felmelegedésének folyamatát, térjen ki a felmelegedést módosító tényezők szerepére</dc:title>
  <dc:subject/>
  <dc:creator>Pető Ildikó</dc:creator>
  <cp:keywords/>
  <cp:lastModifiedBy>Mike MC</cp:lastModifiedBy>
  <cp:revision>3</cp:revision>
  <dcterms:created xsi:type="dcterms:W3CDTF">2020-05-23T12:30:00Z</dcterms:created>
  <dcterms:modified xsi:type="dcterms:W3CDTF">2020-05-26T12:22:00Z</dcterms:modified>
</cp:coreProperties>
</file>