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EEF" w:rsidRPr="00FB07C8" w:rsidRDefault="005863FF" w:rsidP="00FB07C8">
      <w:pPr>
        <w:jc w:val="center"/>
        <w:rPr>
          <w:rFonts w:ascii="Arial Black" w:hAnsi="Arial Black"/>
          <w:sz w:val="24"/>
          <w:szCs w:val="24"/>
        </w:rPr>
      </w:pPr>
      <w:r w:rsidRPr="00FB07C8">
        <w:rPr>
          <w:rFonts w:ascii="Arial Black" w:hAnsi="Arial Black"/>
          <w:sz w:val="24"/>
          <w:szCs w:val="24"/>
        </w:rPr>
        <w:t>19. a.</w:t>
      </w:r>
      <w:r w:rsidR="00DB0A5D" w:rsidRPr="00FB07C8">
        <w:rPr>
          <w:rFonts w:ascii="Arial Black" w:hAnsi="Arial Black"/>
          <w:sz w:val="24"/>
          <w:szCs w:val="24"/>
        </w:rPr>
        <w:t xml:space="preserve"> tétel</w:t>
      </w:r>
      <w:bookmarkStart w:id="0" w:name="_GoBack"/>
      <w:bookmarkEnd w:id="0"/>
    </w:p>
    <w:p w:rsidR="005863FF" w:rsidRPr="00FB07C8" w:rsidRDefault="005863FF" w:rsidP="00FB07C8">
      <w:pPr>
        <w:jc w:val="center"/>
        <w:rPr>
          <w:rFonts w:ascii="Arial Black" w:hAnsi="Arial Black"/>
          <w:sz w:val="24"/>
          <w:szCs w:val="24"/>
        </w:rPr>
      </w:pPr>
      <w:r w:rsidRPr="00FB07C8">
        <w:rPr>
          <w:rFonts w:ascii="Arial Black" w:hAnsi="Arial Black"/>
          <w:sz w:val="24"/>
          <w:szCs w:val="24"/>
        </w:rPr>
        <w:t xml:space="preserve">Ázsia </w:t>
      </w:r>
      <w:r w:rsidR="00DB0A5D" w:rsidRPr="00FB07C8">
        <w:rPr>
          <w:rFonts w:ascii="Arial Black" w:hAnsi="Arial Black"/>
          <w:sz w:val="24"/>
          <w:szCs w:val="24"/>
        </w:rPr>
        <w:t>természetföldrajza</w:t>
      </w:r>
    </w:p>
    <w:p w:rsidR="005863FF" w:rsidRPr="00FB07C8" w:rsidRDefault="005863FF" w:rsidP="00FB07C8">
      <w:pPr>
        <w:jc w:val="center"/>
        <w:rPr>
          <w:rFonts w:ascii="Arial Black" w:eastAsia="Calibri" w:hAnsi="Arial Black" w:cs="Times New Roman"/>
          <w:sz w:val="24"/>
          <w:szCs w:val="24"/>
          <w:u w:val="thick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Ázsia fekvése</w:t>
      </w:r>
    </w:p>
    <w:p w:rsidR="005863FF" w:rsidRPr="00FB07C8" w:rsidRDefault="005863FF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Ázsia területe mindhárom övezeten áthúzódik, de legnagyobb része a mérsékelt övezetben fekszik. Az északi területei a hideg, a déli nagy félszigetei és szigetei a forró övezetben találhatók.</w:t>
      </w:r>
    </w:p>
    <w:p w:rsidR="005863FF" w:rsidRPr="00FB07C8" w:rsidRDefault="005863FF" w:rsidP="00FB07C8">
      <w:pPr>
        <w:jc w:val="center"/>
        <w:rPr>
          <w:rFonts w:ascii="Arial Black" w:eastAsia="Calibri" w:hAnsi="Arial Black" w:cs="Times New Roman"/>
          <w:sz w:val="24"/>
          <w:szCs w:val="24"/>
          <w:u w:val="thick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Ázsia éghajlata</w:t>
      </w:r>
    </w:p>
    <w:p w:rsidR="00260E76" w:rsidRPr="00FB07C8" w:rsidRDefault="00260E76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Északról dél felé haladva nagyon jól látható az övezetesség.</w:t>
      </w:r>
    </w:p>
    <w:p w:rsidR="00DB0A5D" w:rsidRPr="00FB07C8" w:rsidRDefault="005863FF" w:rsidP="00FB07C8">
      <w:pPr>
        <w:pStyle w:val="Listaszerbekezds"/>
        <w:numPr>
          <w:ilvl w:val="0"/>
          <w:numId w:val="7"/>
        </w:numPr>
        <w:ind w:left="714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Hideg övezet</w:t>
      </w:r>
      <w:r w:rsidRPr="00FB07C8">
        <w:rPr>
          <w:rFonts w:ascii="Arial Black" w:eastAsia="Calibri" w:hAnsi="Arial Black" w:cs="Times New Roman"/>
          <w:sz w:val="24"/>
          <w:szCs w:val="24"/>
        </w:rPr>
        <w:t xml:space="preserve">: </w:t>
      </w:r>
      <w:r w:rsidR="00260E76" w:rsidRPr="00FB07C8">
        <w:rPr>
          <w:rFonts w:ascii="Arial Black" w:eastAsia="Calibri" w:hAnsi="Arial Black" w:cs="Times New Roman"/>
          <w:sz w:val="24"/>
          <w:szCs w:val="24"/>
        </w:rPr>
        <w:t xml:space="preserve">a </w:t>
      </w:r>
      <w:r w:rsidRPr="00FB07C8">
        <w:rPr>
          <w:rFonts w:ascii="Arial Black" w:eastAsia="Calibri" w:hAnsi="Arial Black" w:cs="Times New Roman"/>
          <w:sz w:val="24"/>
          <w:szCs w:val="24"/>
        </w:rPr>
        <w:t xml:space="preserve">sarkköri övben tundra éghajlat jellemző. </w:t>
      </w:r>
    </w:p>
    <w:p w:rsidR="00DB0A5D" w:rsidRPr="00FB07C8" w:rsidRDefault="00260E76" w:rsidP="00FB07C8">
      <w:pPr>
        <w:pStyle w:val="Listaszerbekezds"/>
        <w:numPr>
          <w:ilvl w:val="0"/>
          <w:numId w:val="7"/>
        </w:numPr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Mérsékelt övezet</w:t>
      </w:r>
      <w:r w:rsidRPr="00FB07C8">
        <w:rPr>
          <w:rFonts w:ascii="Arial Black" w:eastAsia="Calibri" w:hAnsi="Arial Black" w:cs="Times New Roman"/>
          <w:sz w:val="24"/>
          <w:szCs w:val="24"/>
        </w:rPr>
        <w:t>: mindhárom öve megjelenik.</w:t>
      </w:r>
    </w:p>
    <w:p w:rsidR="00DB0A5D" w:rsidRPr="00FB07C8" w:rsidRDefault="00260E76" w:rsidP="00FB07C8">
      <w:pPr>
        <w:pStyle w:val="Listaszerbekezds"/>
        <w:numPr>
          <w:ilvl w:val="1"/>
          <w:numId w:val="7"/>
        </w:numPr>
        <w:ind w:left="1071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hideg mérsékelt övben tajga éghajlat jellemző</w:t>
      </w:r>
    </w:p>
    <w:p w:rsidR="00260E76" w:rsidRPr="00FB07C8" w:rsidRDefault="00260E76" w:rsidP="00FB07C8">
      <w:pPr>
        <w:pStyle w:val="Listaszerbekezds"/>
        <w:numPr>
          <w:ilvl w:val="1"/>
          <w:numId w:val="7"/>
        </w:numPr>
        <w:ind w:left="1071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valódi mérsékelt övben többféle éghajlat is kialakult, az övezetesség itt Ny</w:t>
      </w:r>
      <w:r w:rsidR="00FB07C8">
        <w:rPr>
          <w:rFonts w:ascii="Arial Black" w:eastAsia="Calibri" w:hAnsi="Arial Black" w:cs="Times New Roman"/>
          <w:sz w:val="24"/>
          <w:szCs w:val="24"/>
        </w:rPr>
        <w:t>ugat</w:t>
      </w:r>
      <w:r w:rsidRPr="00FB07C8">
        <w:rPr>
          <w:rFonts w:ascii="Arial Black" w:eastAsia="Calibri" w:hAnsi="Arial Black" w:cs="Times New Roman"/>
          <w:sz w:val="24"/>
          <w:szCs w:val="24"/>
        </w:rPr>
        <w:t>-K</w:t>
      </w:r>
      <w:r w:rsidR="00FB07C8">
        <w:rPr>
          <w:rFonts w:ascii="Arial Black" w:eastAsia="Calibri" w:hAnsi="Arial Black" w:cs="Times New Roman"/>
          <w:sz w:val="24"/>
          <w:szCs w:val="24"/>
        </w:rPr>
        <w:t>elet</w:t>
      </w:r>
      <w:r w:rsidRPr="00FB07C8">
        <w:rPr>
          <w:rFonts w:ascii="Arial Black" w:eastAsia="Calibri" w:hAnsi="Arial Black" w:cs="Times New Roman"/>
          <w:sz w:val="24"/>
          <w:szCs w:val="24"/>
        </w:rPr>
        <w:t>i irányú</w:t>
      </w:r>
    </w:p>
    <w:p w:rsidR="00260E76" w:rsidRPr="00FB07C8" w:rsidRDefault="00260E76" w:rsidP="00FB07C8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nedves kontinentális</w:t>
      </w:r>
    </w:p>
    <w:p w:rsidR="00260E76" w:rsidRPr="00FB07C8" w:rsidRDefault="00260E76" w:rsidP="00FB07C8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száraz kontinentális</w:t>
      </w:r>
    </w:p>
    <w:p w:rsidR="00FB07C8" w:rsidRPr="00FB07C8" w:rsidRDefault="00260E76" w:rsidP="00FB07C8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kontinentális sivatagi éghajlat</w:t>
      </w:r>
    </w:p>
    <w:p w:rsidR="00260E76" w:rsidRPr="00FB07C8" w:rsidRDefault="00260E76" w:rsidP="00FB07C8">
      <w:pPr>
        <w:pStyle w:val="Listaszerbekezds"/>
        <w:numPr>
          <w:ilvl w:val="0"/>
          <w:numId w:val="10"/>
        </w:numPr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meleg mérsékelt öv Ázsia keleti partjainál jellemző, itt szubtrópusi éghajlat alakult ki</w:t>
      </w:r>
    </w:p>
    <w:p w:rsidR="005F31D4" w:rsidRPr="00FB07C8" w:rsidRDefault="005F31D4" w:rsidP="00FB07C8">
      <w:pPr>
        <w:pStyle w:val="Listaszerbekezds"/>
        <w:numPr>
          <w:ilvl w:val="0"/>
          <w:numId w:val="11"/>
        </w:numPr>
        <w:ind w:left="714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Forró övezet</w:t>
      </w:r>
      <w:r w:rsidRPr="00FB07C8">
        <w:rPr>
          <w:rFonts w:ascii="Arial Black" w:eastAsia="Calibri" w:hAnsi="Arial Black" w:cs="Times New Roman"/>
          <w:sz w:val="24"/>
          <w:szCs w:val="24"/>
        </w:rPr>
        <w:t>:</w:t>
      </w:r>
    </w:p>
    <w:p w:rsidR="005F31D4" w:rsidRPr="00FB07C8" w:rsidRDefault="005F31D4" w:rsidP="00FB07C8">
      <w:pPr>
        <w:pStyle w:val="Listaszerbekezds"/>
        <w:numPr>
          <w:ilvl w:val="0"/>
          <w:numId w:val="2"/>
        </w:numPr>
        <w:ind w:left="1071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trópusi monszun: India</w:t>
      </w:r>
    </w:p>
    <w:p w:rsidR="005F31D4" w:rsidRPr="00FB07C8" w:rsidRDefault="005F31D4" w:rsidP="00FB07C8">
      <w:pPr>
        <w:pStyle w:val="Listaszerbekezds"/>
        <w:numPr>
          <w:ilvl w:val="0"/>
          <w:numId w:val="2"/>
        </w:numPr>
        <w:ind w:left="1071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trópusi sivatagi: Arab-félsziget</w:t>
      </w:r>
    </w:p>
    <w:p w:rsidR="005F31D4" w:rsidRPr="00FB07C8" w:rsidRDefault="005F31D4" w:rsidP="00FB07C8">
      <w:pPr>
        <w:pStyle w:val="Listaszerbekezds"/>
        <w:numPr>
          <w:ilvl w:val="0"/>
          <w:numId w:val="2"/>
        </w:numPr>
        <w:ind w:left="1071" w:hanging="357"/>
        <w:contextualSpacing w:val="0"/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egyenlítői: DK-Ázsia szigetei</w:t>
      </w:r>
    </w:p>
    <w:p w:rsidR="005F31D4" w:rsidRPr="00FB07C8" w:rsidRDefault="005F31D4" w:rsidP="00FB07C8">
      <w:pPr>
        <w:jc w:val="center"/>
        <w:rPr>
          <w:rFonts w:ascii="Arial Black" w:eastAsia="Calibri" w:hAnsi="Arial Black" w:cs="Times New Roman"/>
          <w:sz w:val="24"/>
          <w:szCs w:val="24"/>
          <w:u w:val="thick"/>
        </w:rPr>
      </w:pPr>
      <w:r w:rsidRPr="00FB07C8">
        <w:rPr>
          <w:rFonts w:ascii="Arial Black" w:eastAsia="Calibri" w:hAnsi="Arial Black" w:cs="Times New Roman"/>
          <w:sz w:val="24"/>
          <w:szCs w:val="24"/>
          <w:u w:val="thick"/>
        </w:rPr>
        <w:t>Éghajlat és vízrajz kapcsolata</w:t>
      </w:r>
    </w:p>
    <w:p w:rsidR="005F31D4" w:rsidRPr="00FB07C8" w:rsidRDefault="005F31D4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Ázsia természetes vizekben gazdag kontinens. Hatalmas folyói vannak, a világ legnagyobb és legmélyebb tava is itt található.</w:t>
      </w:r>
    </w:p>
    <w:p w:rsidR="005F31D4" w:rsidRPr="00FB07C8" w:rsidRDefault="005F31D4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folyók azokon a területeken bővizűek, ahol több csapadék esik, mint amennyi elpárolog. Ilyen terület pl. a tajga és a tundra területe. Az Ob, a Jenyiszej és a Léna ilyen területen folyik keresztül.</w:t>
      </w:r>
      <w:r w:rsidR="005E7DAE">
        <w:rPr>
          <w:rFonts w:ascii="Arial Black" w:eastAsia="Calibri" w:hAnsi="Arial Black" w:cs="Times New Roman"/>
          <w:sz w:val="24"/>
          <w:szCs w:val="24"/>
        </w:rPr>
        <w:t xml:space="preserve"> </w:t>
      </w:r>
      <w:r w:rsidRPr="00FB07C8">
        <w:rPr>
          <w:rFonts w:ascii="Arial Black" w:eastAsia="Calibri" w:hAnsi="Arial Black" w:cs="Times New Roman"/>
          <w:sz w:val="24"/>
          <w:szCs w:val="24"/>
        </w:rPr>
        <w:lastRenderedPageBreak/>
        <w:t>Hatalmas folyók erednek a Himalája vidékén, amelyek monszun területen folynak keresztül. Ilyen pl. a Jangce, Gangesz és az Indus.</w:t>
      </w:r>
    </w:p>
    <w:p w:rsidR="005F31D4" w:rsidRPr="00FB07C8" w:rsidRDefault="005F31D4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sivatagos területeken a folyók vízjárása szélsőségesen ingadozó</w:t>
      </w:r>
      <w:r w:rsidR="00CB721F" w:rsidRPr="00FB07C8">
        <w:rPr>
          <w:rFonts w:ascii="Arial Black" w:eastAsia="Calibri" w:hAnsi="Arial Black" w:cs="Times New Roman"/>
          <w:sz w:val="24"/>
          <w:szCs w:val="24"/>
        </w:rPr>
        <w:t xml:space="preserve">, pl. </w:t>
      </w:r>
      <w:proofErr w:type="spellStart"/>
      <w:r w:rsidR="00CB721F" w:rsidRPr="00FB07C8">
        <w:rPr>
          <w:rFonts w:ascii="Arial Black" w:eastAsia="Calibri" w:hAnsi="Arial Black" w:cs="Times New Roman"/>
          <w:sz w:val="24"/>
          <w:szCs w:val="24"/>
        </w:rPr>
        <w:t>Amu-Darja</w:t>
      </w:r>
      <w:proofErr w:type="spellEnd"/>
      <w:r w:rsidR="00CB721F" w:rsidRPr="00FB07C8">
        <w:rPr>
          <w:rFonts w:ascii="Arial Black" w:eastAsia="Calibri" w:hAnsi="Arial Black" w:cs="Times New Roman"/>
          <w:sz w:val="24"/>
          <w:szCs w:val="24"/>
        </w:rPr>
        <w:t xml:space="preserve">, </w:t>
      </w:r>
      <w:proofErr w:type="spellStart"/>
      <w:r w:rsidR="00CB721F" w:rsidRPr="00FB07C8">
        <w:rPr>
          <w:rFonts w:ascii="Arial Black" w:eastAsia="Calibri" w:hAnsi="Arial Black" w:cs="Times New Roman"/>
          <w:sz w:val="24"/>
          <w:szCs w:val="24"/>
        </w:rPr>
        <w:t>Szir-Darja</w:t>
      </w:r>
      <w:proofErr w:type="spellEnd"/>
      <w:r w:rsidR="00CB721F" w:rsidRPr="00FB07C8">
        <w:rPr>
          <w:rFonts w:ascii="Arial Black" w:eastAsia="Calibri" w:hAnsi="Arial Black" w:cs="Times New Roman"/>
          <w:sz w:val="24"/>
          <w:szCs w:val="24"/>
        </w:rPr>
        <w:t>.</w:t>
      </w:r>
    </w:p>
    <w:p w:rsidR="00CB721F" w:rsidRPr="00FB07C8" w:rsidRDefault="00CB721F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sz w:val="24"/>
          <w:szCs w:val="24"/>
        </w:rPr>
        <w:t>A tavak közül kiemelhető az Aral-tó, amely félsivatagos területen található, a vízszintje az utóbbi néhány évtizedben töredékére csökkent.</w:t>
      </w:r>
    </w:p>
    <w:p w:rsidR="00CB721F" w:rsidRPr="00FB07C8" w:rsidRDefault="00CB721F" w:rsidP="00FB07C8">
      <w:pPr>
        <w:rPr>
          <w:rFonts w:ascii="Arial Black" w:eastAsia="Calibri" w:hAnsi="Arial Black" w:cs="Times New Roman"/>
          <w:sz w:val="24"/>
          <w:szCs w:val="24"/>
        </w:rPr>
      </w:pPr>
      <w:r w:rsidRPr="00FB07C8">
        <w:rPr>
          <w:rFonts w:ascii="Arial Black" w:eastAsia="Calibri" w:hAnsi="Arial Black" w:cs="Times New Roman"/>
          <w:noProof/>
          <w:sz w:val="24"/>
          <w:szCs w:val="24"/>
        </w:rPr>
        <w:lastRenderedPageBreak/>
        <w:drawing>
          <wp:inline distT="0" distB="0" distL="0" distR="0" wp14:anchorId="5AACE185">
            <wp:extent cx="5962650" cy="84804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8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721F" w:rsidRPr="00FB07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627D4"/>
    <w:multiLevelType w:val="hybridMultilevel"/>
    <w:tmpl w:val="5E30E5D2"/>
    <w:lvl w:ilvl="0" w:tplc="040E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5EF2868"/>
    <w:multiLevelType w:val="hybridMultilevel"/>
    <w:tmpl w:val="B7FA85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50D4A"/>
    <w:multiLevelType w:val="hybridMultilevel"/>
    <w:tmpl w:val="5428E7BC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49F0019"/>
    <w:multiLevelType w:val="hybridMultilevel"/>
    <w:tmpl w:val="5240CE34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0E53918"/>
    <w:multiLevelType w:val="hybridMultilevel"/>
    <w:tmpl w:val="0942A65E"/>
    <w:lvl w:ilvl="0" w:tplc="040E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6C03F7"/>
    <w:multiLevelType w:val="hybridMultilevel"/>
    <w:tmpl w:val="7082CAB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D04638"/>
    <w:multiLevelType w:val="hybridMultilevel"/>
    <w:tmpl w:val="D7DE0EC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57121C"/>
    <w:multiLevelType w:val="hybridMultilevel"/>
    <w:tmpl w:val="BDD878AE"/>
    <w:lvl w:ilvl="0" w:tplc="040E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5E30E26"/>
    <w:multiLevelType w:val="hybridMultilevel"/>
    <w:tmpl w:val="01FEB6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EF15DD"/>
    <w:multiLevelType w:val="hybridMultilevel"/>
    <w:tmpl w:val="D49010E2"/>
    <w:lvl w:ilvl="0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FF"/>
    <w:rsid w:val="00260E76"/>
    <w:rsid w:val="00340EEF"/>
    <w:rsid w:val="005863FF"/>
    <w:rsid w:val="005E7DAE"/>
    <w:rsid w:val="005F31D4"/>
    <w:rsid w:val="00CB721F"/>
    <w:rsid w:val="00DB0A5D"/>
    <w:rsid w:val="00FB0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0332E"/>
  <w15:chartTrackingRefBased/>
  <w15:docId w15:val="{3B00BCDB-E13B-4032-8A56-319FD486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0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9A1CFD-50CE-4837-90D9-F13EEBC091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1A536E-19A2-4A33-88AD-BA7025B36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76D98C-4FDB-406D-86F4-B6545FD2340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196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2</cp:revision>
  <dcterms:created xsi:type="dcterms:W3CDTF">2020-05-28T21:08:00Z</dcterms:created>
  <dcterms:modified xsi:type="dcterms:W3CDTF">2020-05-30T21:28:00Z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