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4A3" w:rsidRPr="00077539" w:rsidRDefault="00836457" w:rsidP="00077539">
      <w:pPr>
        <w:spacing w:after="160" w:line="259" w:lineRule="auto"/>
        <w:ind w:left="0" w:firstLine="0"/>
        <w:jc w:val="center"/>
        <w:rPr>
          <w:rFonts w:ascii="Arial Black" w:hAnsi="Arial Black"/>
          <w:b w:val="0"/>
          <w:bCs/>
        </w:rPr>
      </w:pPr>
      <w:r w:rsidRPr="00077539">
        <w:rPr>
          <w:rFonts w:ascii="Arial Black" w:hAnsi="Arial Black"/>
          <w:b w:val="0"/>
          <w:bCs/>
        </w:rPr>
        <w:t xml:space="preserve">13. </w:t>
      </w:r>
      <w:proofErr w:type="spellStart"/>
      <w:r w:rsidR="00DE04D8" w:rsidRPr="00077539">
        <w:rPr>
          <w:rFonts w:ascii="Arial Black" w:hAnsi="Arial Black"/>
          <w:b w:val="0"/>
          <w:bCs/>
        </w:rPr>
        <w:t>b.</w:t>
      </w:r>
      <w:proofErr w:type="spellEnd"/>
      <w:r w:rsidR="00077539" w:rsidRPr="00077539">
        <w:rPr>
          <w:rFonts w:ascii="Arial Black" w:hAnsi="Arial Black"/>
          <w:b w:val="0"/>
          <w:bCs/>
        </w:rPr>
        <w:t xml:space="preserve"> tétel</w:t>
      </w:r>
    </w:p>
    <w:p w:rsidR="00A414A3" w:rsidRPr="00077539" w:rsidRDefault="00836457" w:rsidP="00077539">
      <w:pPr>
        <w:spacing w:after="160" w:line="259" w:lineRule="auto"/>
        <w:ind w:right="8"/>
        <w:jc w:val="center"/>
        <w:rPr>
          <w:rFonts w:ascii="Arial Black" w:hAnsi="Arial Black"/>
        </w:rPr>
      </w:pPr>
      <w:r w:rsidRPr="00077539">
        <w:rPr>
          <w:rFonts w:ascii="Arial Black" w:hAnsi="Arial Black"/>
          <w:b w:val="0"/>
          <w:bCs/>
        </w:rPr>
        <w:t xml:space="preserve">A gazdasági fejlettség mérőszámai és különbségei </w:t>
      </w:r>
    </w:p>
    <w:p w:rsidR="00DE04D8" w:rsidRPr="00077539" w:rsidRDefault="00DE04D8" w:rsidP="00077539">
      <w:pPr>
        <w:spacing w:after="160" w:line="259" w:lineRule="auto"/>
        <w:ind w:left="-5"/>
        <w:jc w:val="center"/>
        <w:rPr>
          <w:rFonts w:ascii="Arial Black" w:hAnsi="Arial Black"/>
          <w:b w:val="0"/>
          <w:bCs/>
          <w:szCs w:val="24"/>
          <w:u w:val="thick"/>
        </w:rPr>
      </w:pPr>
      <w:r w:rsidRPr="00077539">
        <w:rPr>
          <w:rFonts w:ascii="Arial Black" w:hAnsi="Arial Black"/>
          <w:b w:val="0"/>
          <w:bCs/>
          <w:szCs w:val="24"/>
          <w:u w:val="thick"/>
        </w:rPr>
        <w:t>GDP/GNI</w:t>
      </w:r>
    </w:p>
    <w:p w:rsidR="00A414A3" w:rsidRPr="00077539" w:rsidRDefault="00836457" w:rsidP="00077539">
      <w:pPr>
        <w:spacing w:after="160" w:line="259" w:lineRule="auto"/>
        <w:ind w:left="-5"/>
        <w:rPr>
          <w:rFonts w:ascii="Arial Black" w:hAnsi="Arial Black"/>
          <w:b w:val="0"/>
          <w:bCs/>
        </w:rPr>
      </w:pPr>
      <w:r w:rsidRPr="00077539">
        <w:rPr>
          <w:rFonts w:ascii="Arial Black" w:hAnsi="Arial Black"/>
          <w:b w:val="0"/>
          <w:bCs/>
        </w:rPr>
        <w:t xml:space="preserve">Egy ország gazdasági fejlettségének jellemzésére általában a bruttó hazai termék (Gross </w:t>
      </w:r>
      <w:proofErr w:type="spellStart"/>
      <w:r w:rsidRPr="00077539">
        <w:rPr>
          <w:rFonts w:ascii="Arial Black" w:hAnsi="Arial Black"/>
          <w:b w:val="0"/>
          <w:bCs/>
        </w:rPr>
        <w:t>Domestic</w:t>
      </w:r>
      <w:proofErr w:type="spellEnd"/>
      <w:r w:rsidRPr="00077539">
        <w:rPr>
          <w:rFonts w:ascii="Arial Black" w:hAnsi="Arial Black"/>
          <w:b w:val="0"/>
          <w:bCs/>
        </w:rPr>
        <w:t xml:space="preserve"> </w:t>
      </w:r>
      <w:proofErr w:type="spellStart"/>
      <w:r w:rsidRPr="00077539">
        <w:rPr>
          <w:rFonts w:ascii="Arial Black" w:hAnsi="Arial Black"/>
          <w:b w:val="0"/>
          <w:bCs/>
        </w:rPr>
        <w:t>Product</w:t>
      </w:r>
      <w:proofErr w:type="spellEnd"/>
      <w:r w:rsidRPr="00077539">
        <w:rPr>
          <w:rFonts w:ascii="Arial Black" w:hAnsi="Arial Black"/>
          <w:b w:val="0"/>
          <w:bCs/>
        </w:rPr>
        <w:t xml:space="preserve"> – GDP) és a bruttó nemzeti jövedelem (Gross National </w:t>
      </w:r>
      <w:proofErr w:type="spellStart"/>
      <w:r w:rsidRPr="00077539">
        <w:rPr>
          <w:rFonts w:ascii="Arial Black" w:hAnsi="Arial Black"/>
          <w:b w:val="0"/>
          <w:bCs/>
        </w:rPr>
        <w:t>Income</w:t>
      </w:r>
      <w:proofErr w:type="spellEnd"/>
      <w:r w:rsidRPr="00077539">
        <w:rPr>
          <w:rFonts w:ascii="Arial Black" w:hAnsi="Arial Black"/>
          <w:b w:val="0"/>
          <w:bCs/>
        </w:rPr>
        <w:t xml:space="preserve"> – GNI) értékeit használják. </w:t>
      </w:r>
    </w:p>
    <w:p w:rsidR="00DE04D8" w:rsidRPr="00077539" w:rsidRDefault="00DE04D8" w:rsidP="00F35A96">
      <w:pPr>
        <w:spacing w:after="160" w:line="259" w:lineRule="auto"/>
        <w:ind w:left="-5"/>
        <w:jc w:val="center"/>
        <w:rPr>
          <w:rFonts w:ascii="Arial Black" w:hAnsi="Arial Black"/>
          <w:b w:val="0"/>
          <w:bCs/>
        </w:rPr>
      </w:pPr>
      <w:r w:rsidRPr="00077539">
        <w:rPr>
          <w:rFonts w:ascii="Arial Black" w:hAnsi="Arial Black"/>
          <w:b w:val="0"/>
          <w:bCs/>
          <w:noProof/>
        </w:rPr>
        <w:drawing>
          <wp:inline distT="0" distB="0" distL="0" distR="0" wp14:anchorId="171E8B69">
            <wp:extent cx="3604811" cy="6737350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12"/>
                    <a:stretch/>
                  </pic:blipFill>
                  <pic:spPr bwMode="auto">
                    <a:xfrm>
                      <a:off x="0" y="0"/>
                      <a:ext cx="3615355" cy="675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14A3" w:rsidRPr="00077539" w:rsidRDefault="00836457" w:rsidP="00077539">
      <w:pPr>
        <w:spacing w:after="160" w:line="259" w:lineRule="auto"/>
        <w:ind w:left="-5"/>
        <w:rPr>
          <w:rFonts w:ascii="Arial Black" w:hAnsi="Arial Black"/>
          <w:b w:val="0"/>
          <w:bCs/>
        </w:rPr>
      </w:pPr>
      <w:r w:rsidRPr="00077539">
        <w:rPr>
          <w:rFonts w:ascii="Arial Black" w:hAnsi="Arial Black"/>
          <w:b w:val="0"/>
          <w:bCs/>
          <w:u w:val="thick" w:color="000000"/>
        </w:rPr>
        <w:lastRenderedPageBreak/>
        <w:t>GDP</w:t>
      </w:r>
      <w:r w:rsidRPr="00077539">
        <w:rPr>
          <w:rFonts w:ascii="Arial Black" w:hAnsi="Arial Black"/>
          <w:b w:val="0"/>
          <w:bCs/>
        </w:rPr>
        <w:t xml:space="preserve">: az adott országban egy év alatt létrehozott termékek és szolgáltatások értékének összegét fejezi ki </w:t>
      </w:r>
    </w:p>
    <w:p w:rsidR="00A414A3" w:rsidRPr="00077539" w:rsidRDefault="00836457" w:rsidP="00077539">
      <w:pPr>
        <w:spacing w:after="160" w:line="259" w:lineRule="auto"/>
        <w:ind w:left="-5"/>
        <w:rPr>
          <w:rFonts w:ascii="Arial Black" w:hAnsi="Arial Black"/>
          <w:b w:val="0"/>
          <w:bCs/>
        </w:rPr>
      </w:pPr>
      <w:r w:rsidRPr="00077539">
        <w:rPr>
          <w:rFonts w:ascii="Arial Black" w:hAnsi="Arial Black"/>
          <w:b w:val="0"/>
          <w:bCs/>
          <w:u w:val="thick" w:color="000000"/>
        </w:rPr>
        <w:t>GNI</w:t>
      </w:r>
      <w:r w:rsidRPr="00077539">
        <w:rPr>
          <w:rFonts w:ascii="Arial Black" w:hAnsi="Arial Black"/>
          <w:b w:val="0"/>
          <w:bCs/>
        </w:rPr>
        <w:t xml:space="preserve">: az adott ország állampolgárai, vállalatai által előállított termékek és szolgáltatások összértékét szemlélteti </w:t>
      </w:r>
    </w:p>
    <w:p w:rsidR="00A414A3" w:rsidRPr="00077539" w:rsidRDefault="00836457" w:rsidP="00077539">
      <w:pPr>
        <w:spacing w:after="160" w:line="259" w:lineRule="auto"/>
        <w:ind w:left="-5"/>
        <w:rPr>
          <w:rFonts w:ascii="Arial Black" w:hAnsi="Arial Black"/>
          <w:b w:val="0"/>
          <w:bCs/>
        </w:rPr>
      </w:pPr>
      <w:r w:rsidRPr="00077539">
        <w:rPr>
          <w:rFonts w:ascii="Arial Black" w:hAnsi="Arial Black"/>
          <w:b w:val="0"/>
          <w:bCs/>
        </w:rPr>
        <w:t xml:space="preserve">A GDP és a GNI értékeit rendszerint USA-dollárban szokták megadni. </w:t>
      </w:r>
    </w:p>
    <w:p w:rsidR="00A414A3" w:rsidRPr="00077539" w:rsidRDefault="00836457" w:rsidP="00077539">
      <w:pPr>
        <w:spacing w:after="160" w:line="259" w:lineRule="auto"/>
        <w:ind w:left="-5"/>
        <w:rPr>
          <w:rFonts w:ascii="Arial Black" w:hAnsi="Arial Black"/>
          <w:b w:val="0"/>
          <w:bCs/>
        </w:rPr>
      </w:pPr>
      <w:r w:rsidRPr="00077539">
        <w:rPr>
          <w:rFonts w:ascii="Arial Black" w:hAnsi="Arial Black"/>
          <w:b w:val="0"/>
          <w:bCs/>
        </w:rPr>
        <w:t xml:space="preserve">Ha az egy főre jutó GDP vagy GNI értéke meghaladja az előző év értékét, akkor </w:t>
      </w:r>
      <w:r w:rsidRPr="00077539">
        <w:rPr>
          <w:rFonts w:ascii="Arial Black" w:hAnsi="Arial Black"/>
          <w:b w:val="0"/>
          <w:bCs/>
          <w:u w:val="thick" w:color="000000"/>
        </w:rPr>
        <w:t>gazdasági növekedés</w:t>
      </w:r>
      <w:r w:rsidRPr="00077539">
        <w:rPr>
          <w:rFonts w:ascii="Arial Black" w:hAnsi="Arial Black"/>
          <w:b w:val="0"/>
          <w:bCs/>
        </w:rPr>
        <w:t xml:space="preserve">ről beszélhetünk. </w:t>
      </w:r>
    </w:p>
    <w:p w:rsidR="00A414A3" w:rsidRPr="00077539" w:rsidRDefault="00836457" w:rsidP="00077539">
      <w:pPr>
        <w:spacing w:after="160" w:line="259" w:lineRule="auto"/>
        <w:ind w:left="-5"/>
        <w:rPr>
          <w:rFonts w:ascii="Arial Black" w:hAnsi="Arial Black"/>
          <w:b w:val="0"/>
          <w:bCs/>
        </w:rPr>
      </w:pPr>
      <w:r w:rsidRPr="00077539">
        <w:rPr>
          <w:rFonts w:ascii="Arial Black" w:hAnsi="Arial Black"/>
          <w:b w:val="0"/>
          <w:bCs/>
          <w:u w:val="thick" w:color="000000"/>
        </w:rPr>
        <w:t>Az egy főre jutó GNI alapján a Föld országait 3 csoportba</w:t>
      </w:r>
      <w:r w:rsidRPr="00077539">
        <w:rPr>
          <w:rFonts w:ascii="Arial Black" w:hAnsi="Arial Black"/>
          <w:b w:val="0"/>
          <w:bCs/>
          <w:u w:val="thick"/>
        </w:rPr>
        <w:t xml:space="preserve"> </w:t>
      </w:r>
      <w:r w:rsidRPr="00077539">
        <w:rPr>
          <w:rFonts w:ascii="Arial Black" w:hAnsi="Arial Black"/>
          <w:b w:val="0"/>
          <w:bCs/>
          <w:u w:val="thick" w:color="000000"/>
        </w:rPr>
        <w:t>sorolhatjuk</w:t>
      </w:r>
      <w:r w:rsidRPr="00077539">
        <w:rPr>
          <w:rFonts w:ascii="Arial Black" w:hAnsi="Arial Black"/>
          <w:b w:val="0"/>
          <w:bCs/>
        </w:rPr>
        <w:t xml:space="preserve">: </w:t>
      </w:r>
    </w:p>
    <w:p w:rsidR="00A414A3" w:rsidRPr="00077539" w:rsidRDefault="00836457" w:rsidP="00077539">
      <w:pPr>
        <w:pStyle w:val="Listaszerbekezds"/>
        <w:numPr>
          <w:ilvl w:val="0"/>
          <w:numId w:val="3"/>
        </w:numPr>
        <w:spacing w:after="160" w:line="259" w:lineRule="auto"/>
        <w:rPr>
          <w:rFonts w:ascii="Arial Black" w:hAnsi="Arial Black"/>
          <w:b w:val="0"/>
          <w:bCs/>
        </w:rPr>
      </w:pPr>
      <w:r w:rsidRPr="00077539">
        <w:rPr>
          <w:rFonts w:ascii="Arial Black" w:hAnsi="Arial Black"/>
          <w:b w:val="0"/>
          <w:bCs/>
        </w:rPr>
        <w:t xml:space="preserve">alacsony </w:t>
      </w:r>
    </w:p>
    <w:p w:rsidR="00A414A3" w:rsidRPr="00077539" w:rsidRDefault="00836457" w:rsidP="00077539">
      <w:pPr>
        <w:pStyle w:val="Listaszerbekezds"/>
        <w:numPr>
          <w:ilvl w:val="0"/>
          <w:numId w:val="3"/>
        </w:numPr>
        <w:spacing w:after="160" w:line="259" w:lineRule="auto"/>
        <w:rPr>
          <w:rFonts w:ascii="Arial Black" w:hAnsi="Arial Black"/>
          <w:b w:val="0"/>
          <w:bCs/>
        </w:rPr>
      </w:pPr>
      <w:r w:rsidRPr="00077539">
        <w:rPr>
          <w:rFonts w:ascii="Arial Black" w:hAnsi="Arial Black"/>
          <w:b w:val="0"/>
          <w:bCs/>
        </w:rPr>
        <w:t xml:space="preserve">közepes </w:t>
      </w:r>
    </w:p>
    <w:p w:rsidR="00A414A3" w:rsidRPr="00077539" w:rsidRDefault="00836457" w:rsidP="00077539">
      <w:pPr>
        <w:pStyle w:val="Listaszerbekezds"/>
        <w:numPr>
          <w:ilvl w:val="0"/>
          <w:numId w:val="3"/>
        </w:numPr>
        <w:spacing w:after="160" w:line="259" w:lineRule="auto"/>
        <w:rPr>
          <w:rFonts w:ascii="Arial Black" w:hAnsi="Arial Black"/>
          <w:b w:val="0"/>
          <w:bCs/>
        </w:rPr>
      </w:pPr>
      <w:r w:rsidRPr="00077539">
        <w:rPr>
          <w:rFonts w:ascii="Arial Black" w:hAnsi="Arial Black"/>
          <w:b w:val="0"/>
          <w:bCs/>
        </w:rPr>
        <w:t xml:space="preserve">magas jövedelmű országok </w:t>
      </w:r>
    </w:p>
    <w:p w:rsidR="00A414A3" w:rsidRPr="00077539" w:rsidRDefault="00836457" w:rsidP="00077539">
      <w:pPr>
        <w:spacing w:after="160" w:line="259" w:lineRule="auto"/>
        <w:ind w:left="-5"/>
        <w:rPr>
          <w:rFonts w:ascii="Arial Black" w:hAnsi="Arial Black"/>
          <w:b w:val="0"/>
          <w:bCs/>
        </w:rPr>
      </w:pPr>
      <w:r w:rsidRPr="00077539">
        <w:rPr>
          <w:rFonts w:ascii="Arial Black" w:hAnsi="Arial Black"/>
          <w:b w:val="0"/>
          <w:bCs/>
          <w:u w:val="thick" w:color="000000"/>
        </w:rPr>
        <w:t>Alacsony jövedelmű országok</w:t>
      </w:r>
      <w:r w:rsidRPr="00077539">
        <w:rPr>
          <w:rFonts w:ascii="Arial Black" w:hAnsi="Arial Black"/>
          <w:b w:val="0"/>
          <w:bCs/>
        </w:rPr>
        <w:t xml:space="preserve">: az egy főre jutó GNI kevés, a gazdaság fejlettlen (pl. Afganisztán, Csád) </w:t>
      </w:r>
    </w:p>
    <w:p w:rsidR="00A414A3" w:rsidRPr="00077539" w:rsidRDefault="00836457" w:rsidP="00077539">
      <w:pPr>
        <w:spacing w:after="160" w:line="259" w:lineRule="auto"/>
        <w:ind w:left="-5"/>
        <w:rPr>
          <w:rFonts w:ascii="Arial Black" w:hAnsi="Arial Black"/>
          <w:b w:val="0"/>
          <w:bCs/>
        </w:rPr>
      </w:pPr>
      <w:r w:rsidRPr="004F1BD2">
        <w:rPr>
          <w:rFonts w:ascii="Arial Black" w:hAnsi="Arial Black"/>
          <w:b w:val="0"/>
          <w:bCs/>
          <w:u w:val="thick" w:color="000000"/>
        </w:rPr>
        <w:t>Közepes jövedelmű országok</w:t>
      </w:r>
      <w:r w:rsidRPr="00077539">
        <w:rPr>
          <w:rFonts w:ascii="Arial Black" w:hAnsi="Arial Black"/>
          <w:b w:val="0"/>
          <w:bCs/>
        </w:rPr>
        <w:t xml:space="preserve">: gazdasága közepesen fejlett (pl. </w:t>
      </w:r>
    </w:p>
    <w:p w:rsidR="00A414A3" w:rsidRPr="00077539" w:rsidRDefault="00836457" w:rsidP="00077539">
      <w:pPr>
        <w:spacing w:after="160" w:line="259" w:lineRule="auto"/>
        <w:ind w:left="-5"/>
        <w:rPr>
          <w:rFonts w:ascii="Arial Black" w:hAnsi="Arial Black"/>
          <w:b w:val="0"/>
          <w:bCs/>
        </w:rPr>
      </w:pPr>
      <w:r w:rsidRPr="00077539">
        <w:rPr>
          <w:rFonts w:ascii="Arial Black" w:hAnsi="Arial Black"/>
          <w:b w:val="0"/>
          <w:bCs/>
        </w:rPr>
        <w:t xml:space="preserve">Brazília, Kína) </w:t>
      </w:r>
    </w:p>
    <w:p w:rsidR="00A414A3" w:rsidRPr="00077539" w:rsidRDefault="00836457" w:rsidP="00077539">
      <w:pPr>
        <w:spacing w:after="160" w:line="259" w:lineRule="auto"/>
        <w:ind w:left="-5"/>
        <w:rPr>
          <w:rFonts w:ascii="Arial Black" w:hAnsi="Arial Black"/>
          <w:b w:val="0"/>
          <w:bCs/>
        </w:rPr>
      </w:pPr>
      <w:r w:rsidRPr="004F1BD2">
        <w:rPr>
          <w:rFonts w:ascii="Arial Black" w:hAnsi="Arial Black"/>
          <w:b w:val="0"/>
          <w:bCs/>
          <w:u w:val="thick" w:color="000000"/>
        </w:rPr>
        <w:t>Magas jövedelmű országok</w:t>
      </w:r>
      <w:r w:rsidRPr="00077539">
        <w:rPr>
          <w:rFonts w:ascii="Arial Black" w:hAnsi="Arial Black"/>
          <w:b w:val="0"/>
          <w:bCs/>
        </w:rPr>
        <w:t xml:space="preserve">: az egy főre jutó GNI magas, a gazdaság fejlett (pl. Luxemburg, USA) </w:t>
      </w:r>
    </w:p>
    <w:p w:rsidR="00A414A3" w:rsidRPr="00077539" w:rsidRDefault="00836457" w:rsidP="00077539">
      <w:pPr>
        <w:spacing w:after="160" w:line="259" w:lineRule="auto"/>
        <w:ind w:left="-5"/>
        <w:rPr>
          <w:rFonts w:ascii="Arial Black" w:hAnsi="Arial Black"/>
          <w:b w:val="0"/>
          <w:bCs/>
        </w:rPr>
      </w:pPr>
      <w:r w:rsidRPr="00077539">
        <w:rPr>
          <w:rFonts w:ascii="Arial Black" w:hAnsi="Arial Black"/>
          <w:b w:val="0"/>
          <w:bCs/>
        </w:rPr>
        <w:t xml:space="preserve">Minél fejlettebb egy ország gazdasága, általában annál magasabb </w:t>
      </w:r>
      <w:r w:rsidRPr="004F1BD2">
        <w:rPr>
          <w:rFonts w:ascii="Arial Black" w:hAnsi="Arial Black"/>
          <w:b w:val="0"/>
          <w:bCs/>
          <w:u w:val="thick" w:color="000000"/>
        </w:rPr>
        <w:t>életszínvonal</w:t>
      </w:r>
      <w:r w:rsidRPr="00077539">
        <w:rPr>
          <w:rFonts w:ascii="Arial Black" w:hAnsi="Arial Black"/>
          <w:b w:val="0"/>
          <w:bCs/>
        </w:rPr>
        <w:t xml:space="preserve">on élnek a lakói. </w:t>
      </w:r>
    </w:p>
    <w:p w:rsidR="00DE04D8" w:rsidRPr="00077539" w:rsidRDefault="00DE04D8" w:rsidP="00077539">
      <w:pPr>
        <w:spacing w:after="160" w:line="259" w:lineRule="auto"/>
        <w:ind w:left="-5"/>
        <w:jc w:val="center"/>
        <w:rPr>
          <w:rFonts w:ascii="Arial Black" w:hAnsi="Arial Black"/>
          <w:b w:val="0"/>
          <w:bCs/>
          <w:szCs w:val="24"/>
          <w:u w:val="thick"/>
        </w:rPr>
      </w:pPr>
      <w:r w:rsidRPr="00077539">
        <w:rPr>
          <w:rFonts w:ascii="Arial Black" w:hAnsi="Arial Black"/>
          <w:b w:val="0"/>
          <w:bCs/>
          <w:szCs w:val="24"/>
          <w:u w:val="thick"/>
        </w:rPr>
        <w:t>Gazdasági és foglalkozási szerkezet</w:t>
      </w:r>
    </w:p>
    <w:p w:rsidR="00A414A3" w:rsidRPr="00077539" w:rsidRDefault="00836457" w:rsidP="00077539">
      <w:pPr>
        <w:spacing w:after="160" w:line="259" w:lineRule="auto"/>
        <w:ind w:left="-5"/>
        <w:rPr>
          <w:rFonts w:ascii="Arial Black" w:hAnsi="Arial Black"/>
          <w:b w:val="0"/>
          <w:bCs/>
        </w:rPr>
      </w:pPr>
      <w:r w:rsidRPr="004F1BD2">
        <w:rPr>
          <w:rFonts w:ascii="Arial Black" w:hAnsi="Arial Black"/>
          <w:b w:val="0"/>
          <w:bCs/>
          <w:u w:val="thick" w:color="000000"/>
        </w:rPr>
        <w:t>A különböző gazdasági tevékenységek gazdasági ágakba, azok</w:t>
      </w:r>
      <w:r w:rsidRPr="004F1BD2">
        <w:rPr>
          <w:rFonts w:ascii="Arial Black" w:hAnsi="Arial Black"/>
          <w:b w:val="0"/>
          <w:bCs/>
          <w:u w:val="thick"/>
        </w:rPr>
        <w:t xml:space="preserve"> </w:t>
      </w:r>
      <w:r w:rsidRPr="004F1BD2">
        <w:rPr>
          <w:rFonts w:ascii="Arial Black" w:hAnsi="Arial Black"/>
          <w:b w:val="0"/>
          <w:bCs/>
          <w:u w:val="thick" w:color="000000"/>
        </w:rPr>
        <w:t>pedig négy gazdasági szektorba sorolhatók</w:t>
      </w:r>
      <w:r w:rsidRPr="00077539">
        <w:rPr>
          <w:rFonts w:ascii="Arial Black" w:hAnsi="Arial Black"/>
          <w:b w:val="0"/>
          <w:bCs/>
        </w:rPr>
        <w:t xml:space="preserve">: </w:t>
      </w:r>
    </w:p>
    <w:p w:rsidR="00A414A3" w:rsidRPr="004F1BD2" w:rsidRDefault="00836457" w:rsidP="004F1BD2">
      <w:pPr>
        <w:pStyle w:val="Listaszerbekezds"/>
        <w:numPr>
          <w:ilvl w:val="0"/>
          <w:numId w:val="4"/>
        </w:numPr>
        <w:spacing w:after="160" w:line="259" w:lineRule="auto"/>
        <w:rPr>
          <w:rFonts w:ascii="Arial Black" w:hAnsi="Arial Black"/>
          <w:b w:val="0"/>
          <w:bCs/>
        </w:rPr>
      </w:pPr>
      <w:r w:rsidRPr="004F1BD2">
        <w:rPr>
          <w:rFonts w:ascii="Arial Black" w:hAnsi="Arial Black"/>
          <w:b w:val="0"/>
          <w:bCs/>
          <w:u w:val="thick" w:color="000000"/>
        </w:rPr>
        <w:t>primer szektor</w:t>
      </w:r>
      <w:r w:rsidRPr="004F1BD2">
        <w:rPr>
          <w:rFonts w:ascii="Arial Black" w:hAnsi="Arial Black"/>
          <w:b w:val="0"/>
          <w:bCs/>
        </w:rPr>
        <w:t xml:space="preserve">: mezőgazdaság, kitermelőipar </w:t>
      </w:r>
    </w:p>
    <w:p w:rsidR="00A414A3" w:rsidRPr="004F1BD2" w:rsidRDefault="00836457" w:rsidP="004F1BD2">
      <w:pPr>
        <w:pStyle w:val="Listaszerbekezds"/>
        <w:numPr>
          <w:ilvl w:val="0"/>
          <w:numId w:val="4"/>
        </w:numPr>
        <w:spacing w:after="160" w:line="259" w:lineRule="auto"/>
        <w:rPr>
          <w:rFonts w:ascii="Arial Black" w:hAnsi="Arial Black"/>
          <w:b w:val="0"/>
          <w:bCs/>
        </w:rPr>
      </w:pPr>
      <w:r w:rsidRPr="004F1BD2">
        <w:rPr>
          <w:rFonts w:ascii="Arial Black" w:hAnsi="Arial Black"/>
          <w:b w:val="0"/>
          <w:bCs/>
          <w:u w:val="thick" w:color="000000"/>
        </w:rPr>
        <w:t>szekunder szektor</w:t>
      </w:r>
      <w:r w:rsidRPr="004F1BD2">
        <w:rPr>
          <w:rFonts w:ascii="Arial Black" w:hAnsi="Arial Black"/>
          <w:b w:val="0"/>
          <w:bCs/>
        </w:rPr>
        <w:t xml:space="preserve">: ipar többi ága </w:t>
      </w:r>
    </w:p>
    <w:p w:rsidR="00A414A3" w:rsidRPr="004F1BD2" w:rsidRDefault="00836457" w:rsidP="004F1BD2">
      <w:pPr>
        <w:pStyle w:val="Listaszerbekezds"/>
        <w:numPr>
          <w:ilvl w:val="0"/>
          <w:numId w:val="4"/>
        </w:numPr>
        <w:spacing w:after="160" w:line="259" w:lineRule="auto"/>
        <w:rPr>
          <w:rFonts w:ascii="Arial Black" w:hAnsi="Arial Black"/>
          <w:b w:val="0"/>
          <w:bCs/>
        </w:rPr>
      </w:pPr>
      <w:r w:rsidRPr="004F1BD2">
        <w:rPr>
          <w:rFonts w:ascii="Arial Black" w:hAnsi="Arial Black"/>
          <w:b w:val="0"/>
          <w:bCs/>
          <w:u w:val="thick" w:color="000000"/>
        </w:rPr>
        <w:t>tercier szektor</w:t>
      </w:r>
      <w:r w:rsidRPr="004F1BD2">
        <w:rPr>
          <w:rFonts w:ascii="Arial Black" w:hAnsi="Arial Black"/>
          <w:b w:val="0"/>
          <w:bCs/>
        </w:rPr>
        <w:t xml:space="preserve">: szolgáltatások </w:t>
      </w:r>
    </w:p>
    <w:p w:rsidR="00A414A3" w:rsidRPr="004F1BD2" w:rsidRDefault="00836457" w:rsidP="004F1BD2">
      <w:pPr>
        <w:pStyle w:val="Listaszerbekezds"/>
        <w:numPr>
          <w:ilvl w:val="0"/>
          <w:numId w:val="4"/>
        </w:numPr>
        <w:spacing w:after="160" w:line="259" w:lineRule="auto"/>
        <w:rPr>
          <w:rFonts w:ascii="Arial Black" w:hAnsi="Arial Black"/>
          <w:b w:val="0"/>
          <w:bCs/>
        </w:rPr>
      </w:pPr>
      <w:proofErr w:type="spellStart"/>
      <w:r w:rsidRPr="004F1BD2">
        <w:rPr>
          <w:rFonts w:ascii="Arial Black" w:hAnsi="Arial Black"/>
          <w:b w:val="0"/>
          <w:bCs/>
          <w:u w:val="thick" w:color="000000"/>
        </w:rPr>
        <w:t>kvaterner</w:t>
      </w:r>
      <w:proofErr w:type="spellEnd"/>
      <w:r w:rsidRPr="004F1BD2">
        <w:rPr>
          <w:rFonts w:ascii="Arial Black" w:hAnsi="Arial Black"/>
          <w:b w:val="0"/>
          <w:bCs/>
          <w:u w:val="thick" w:color="000000"/>
        </w:rPr>
        <w:t xml:space="preserve"> szektor</w:t>
      </w:r>
      <w:r w:rsidRPr="004F1BD2">
        <w:rPr>
          <w:rFonts w:ascii="Arial Black" w:hAnsi="Arial Black"/>
          <w:b w:val="0"/>
          <w:bCs/>
        </w:rPr>
        <w:t xml:space="preserve">: információfeldolgozással és továbbítással összefüggő tevékenység, felsőoktatás, kutatás-fejlesztés (K+F) </w:t>
      </w:r>
    </w:p>
    <w:p w:rsidR="00A414A3" w:rsidRPr="00077539" w:rsidRDefault="00836457" w:rsidP="00077539">
      <w:pPr>
        <w:spacing w:after="160" w:line="259" w:lineRule="auto"/>
        <w:ind w:left="-5"/>
        <w:rPr>
          <w:rFonts w:ascii="Arial Black" w:hAnsi="Arial Black"/>
          <w:b w:val="0"/>
          <w:bCs/>
        </w:rPr>
      </w:pPr>
      <w:r w:rsidRPr="00077539">
        <w:rPr>
          <w:rFonts w:ascii="Arial Black" w:hAnsi="Arial Black"/>
          <w:b w:val="0"/>
          <w:bCs/>
        </w:rPr>
        <w:t xml:space="preserve">Azt, hogy a gazdasági szektorok milyen mértékben járulnak hozzá a GDP előállításához, a gazdasági szerkezet mutatja meg. </w:t>
      </w:r>
    </w:p>
    <w:p w:rsidR="00A414A3" w:rsidRPr="00077539" w:rsidRDefault="00836457" w:rsidP="00077539">
      <w:pPr>
        <w:spacing w:after="160" w:line="259" w:lineRule="auto"/>
        <w:ind w:left="-5"/>
        <w:rPr>
          <w:rFonts w:ascii="Arial Black" w:hAnsi="Arial Black"/>
          <w:b w:val="0"/>
          <w:bCs/>
        </w:rPr>
      </w:pPr>
      <w:r w:rsidRPr="00077539">
        <w:rPr>
          <w:rFonts w:ascii="Arial Black" w:hAnsi="Arial Black"/>
          <w:b w:val="0"/>
          <w:bCs/>
        </w:rPr>
        <w:lastRenderedPageBreak/>
        <w:t xml:space="preserve">A </w:t>
      </w:r>
      <w:r w:rsidRPr="004F1BD2">
        <w:rPr>
          <w:rFonts w:ascii="Arial Black" w:hAnsi="Arial Black"/>
          <w:b w:val="0"/>
          <w:bCs/>
          <w:u w:val="thick" w:color="000000"/>
        </w:rPr>
        <w:t>foglalkozási szerkezet</w:t>
      </w:r>
      <w:r w:rsidRPr="00077539">
        <w:rPr>
          <w:rFonts w:ascii="Arial Black" w:hAnsi="Arial Black"/>
          <w:b w:val="0"/>
          <w:bCs/>
        </w:rPr>
        <w:t xml:space="preserve"> azt szemlélteti, hogy milyen az aktív keresők megoszlása a gazdasági szektorok között. </w:t>
      </w:r>
    </w:p>
    <w:p w:rsidR="00A414A3" w:rsidRPr="00077539" w:rsidRDefault="00836457" w:rsidP="00077539">
      <w:pPr>
        <w:spacing w:after="160" w:line="259" w:lineRule="auto"/>
        <w:ind w:left="-5"/>
        <w:rPr>
          <w:rFonts w:ascii="Arial Black" w:hAnsi="Arial Black"/>
          <w:b w:val="0"/>
          <w:bCs/>
        </w:rPr>
      </w:pPr>
      <w:r w:rsidRPr="00077539">
        <w:rPr>
          <w:rFonts w:ascii="Arial Black" w:hAnsi="Arial Black"/>
          <w:b w:val="0"/>
          <w:bCs/>
        </w:rPr>
        <w:t xml:space="preserve">Ipari forradalom előtt főleg a primer szektor foglalkoztatta a népesség nagy részét, 19. század közepétől a szekunder (=ipari vagy indusztriális társadalom, 20. század elejétől pedig a tercier (=ipar utáni vagy posztindusztriális társadalom) szektorban dolgozott a legtöbb munkavállaló. Napjainkban a </w:t>
      </w:r>
      <w:proofErr w:type="spellStart"/>
      <w:r w:rsidRPr="00077539">
        <w:rPr>
          <w:rFonts w:ascii="Arial Black" w:hAnsi="Arial Black"/>
          <w:b w:val="0"/>
          <w:bCs/>
        </w:rPr>
        <w:t>kvaterner</w:t>
      </w:r>
      <w:proofErr w:type="spellEnd"/>
      <w:r w:rsidRPr="00077539">
        <w:rPr>
          <w:rFonts w:ascii="Arial Black" w:hAnsi="Arial Black"/>
          <w:b w:val="0"/>
          <w:bCs/>
        </w:rPr>
        <w:t xml:space="preserve"> szektorban foglalkoztatottak aránya igen magas (=információs társadalom). </w:t>
      </w:r>
    </w:p>
    <w:p w:rsidR="00A414A3" w:rsidRPr="00077539" w:rsidRDefault="00836457" w:rsidP="00077539">
      <w:pPr>
        <w:spacing w:after="160" w:line="259" w:lineRule="auto"/>
        <w:ind w:left="-5"/>
        <w:rPr>
          <w:rFonts w:ascii="Arial Black" w:hAnsi="Arial Black"/>
          <w:b w:val="0"/>
          <w:bCs/>
        </w:rPr>
      </w:pPr>
      <w:r w:rsidRPr="00077539">
        <w:rPr>
          <w:rFonts w:ascii="Arial Black" w:hAnsi="Arial Black"/>
          <w:b w:val="0"/>
          <w:bCs/>
        </w:rPr>
        <w:t xml:space="preserve">A munkaerő gazdasági szektorok közötti áramlása a </w:t>
      </w:r>
      <w:r w:rsidRPr="004F1BD2">
        <w:rPr>
          <w:rFonts w:ascii="Arial Black" w:hAnsi="Arial Black"/>
          <w:b w:val="0"/>
          <w:bCs/>
          <w:u w:val="thick" w:color="000000"/>
        </w:rPr>
        <w:t>foglalkozási</w:t>
      </w:r>
      <w:r w:rsidRPr="004F1BD2">
        <w:rPr>
          <w:rFonts w:ascii="Arial Black" w:hAnsi="Arial Black"/>
          <w:b w:val="0"/>
          <w:bCs/>
          <w:u w:val="thick"/>
        </w:rPr>
        <w:t xml:space="preserve"> </w:t>
      </w:r>
      <w:r w:rsidRPr="004F1BD2">
        <w:rPr>
          <w:rFonts w:ascii="Arial Black" w:hAnsi="Arial Black"/>
          <w:b w:val="0"/>
          <w:bCs/>
          <w:u w:val="thick" w:color="000000"/>
        </w:rPr>
        <w:t>átrétegződés</w:t>
      </w:r>
      <w:r w:rsidRPr="00077539">
        <w:rPr>
          <w:rFonts w:ascii="Arial Black" w:hAnsi="Arial Black"/>
          <w:b w:val="0"/>
          <w:bCs/>
        </w:rPr>
        <w:t xml:space="preserve">. </w:t>
      </w:r>
    </w:p>
    <w:p w:rsidR="00DE04D8" w:rsidRPr="00077539" w:rsidRDefault="00DE04D8" w:rsidP="00077539">
      <w:pPr>
        <w:spacing w:after="160" w:line="259" w:lineRule="auto"/>
        <w:jc w:val="center"/>
        <w:rPr>
          <w:rFonts w:ascii="Arial Black" w:hAnsi="Arial Black"/>
          <w:b w:val="0"/>
          <w:bCs/>
          <w:szCs w:val="24"/>
          <w:u w:val="thick"/>
        </w:rPr>
      </w:pPr>
      <w:r w:rsidRPr="00077539">
        <w:rPr>
          <w:rFonts w:ascii="Arial Black" w:hAnsi="Arial Black"/>
          <w:b w:val="0"/>
          <w:bCs/>
          <w:szCs w:val="24"/>
          <w:u w:val="thick"/>
        </w:rPr>
        <w:t>Születéskor várható élettartam</w:t>
      </w:r>
    </w:p>
    <w:p w:rsidR="00DE04D8" w:rsidRPr="00077539" w:rsidRDefault="00DE04D8" w:rsidP="00077539">
      <w:pPr>
        <w:spacing w:after="160" w:line="259" w:lineRule="auto"/>
        <w:ind w:left="-5"/>
        <w:rPr>
          <w:rFonts w:ascii="Arial Black" w:hAnsi="Arial Black"/>
          <w:b w:val="0"/>
          <w:bCs/>
        </w:rPr>
      </w:pPr>
      <w:r w:rsidRPr="00077539">
        <w:rPr>
          <w:rFonts w:ascii="Arial Black" w:hAnsi="Arial Black"/>
          <w:b w:val="0"/>
          <w:bCs/>
        </w:rPr>
        <w:t xml:space="preserve">Gazdaságot jellemző mutató a születéskor várható élettartam is, amely azt mutatja meg, hogy egy adott évben </w:t>
      </w:r>
      <w:r w:rsidR="00B30635" w:rsidRPr="00077539">
        <w:rPr>
          <w:rFonts w:ascii="Arial Black" w:hAnsi="Arial Black"/>
          <w:b w:val="0"/>
          <w:bCs/>
        </w:rPr>
        <w:t>az akkor születendő gyermekek átlagosan várhatóan meddig élnek majd. A fejlett gazdaságú országokban ez az érték magas (Japán, Svájc, Szingapúr: 83 év felett), a fejletlen gazdaságú országokban alacsony (Angola, Csád: 54 év alatt). A gazdasági fejlettség meghatározza az egészségügy fejlettségét is, ezért befolyásolja a várható élettartamot</w:t>
      </w:r>
      <w:bookmarkStart w:id="0" w:name="_GoBack"/>
      <w:bookmarkEnd w:id="0"/>
      <w:r w:rsidR="00B30635" w:rsidRPr="00077539">
        <w:rPr>
          <w:rFonts w:ascii="Arial Black" w:hAnsi="Arial Black"/>
          <w:b w:val="0"/>
          <w:bCs/>
        </w:rPr>
        <w:t>.</w:t>
      </w:r>
    </w:p>
    <w:sectPr w:rsidR="00DE04D8" w:rsidRPr="00077539">
      <w:pgSz w:w="11906" w:h="16838"/>
      <w:pgMar w:top="1508" w:right="1448" w:bottom="161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0E5E"/>
    <w:multiLevelType w:val="hybridMultilevel"/>
    <w:tmpl w:val="CBF04A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788B"/>
    <w:multiLevelType w:val="hybridMultilevel"/>
    <w:tmpl w:val="6322A3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B3679"/>
    <w:multiLevelType w:val="hybridMultilevel"/>
    <w:tmpl w:val="DEEA3878"/>
    <w:lvl w:ilvl="0" w:tplc="A32C3B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0AA4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589E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40E8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ECA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AC7B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C8FE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CA9B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E4DF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154B1D"/>
    <w:multiLevelType w:val="hybridMultilevel"/>
    <w:tmpl w:val="BCF0C9DC"/>
    <w:lvl w:ilvl="0" w:tplc="B6E4BEB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ED4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C26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4EA4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98C2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064B5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7650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271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4CB3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4A3"/>
    <w:rsid w:val="00077539"/>
    <w:rsid w:val="004F1BD2"/>
    <w:rsid w:val="00836457"/>
    <w:rsid w:val="00A414A3"/>
    <w:rsid w:val="00B30635"/>
    <w:rsid w:val="00DE04D8"/>
    <w:rsid w:val="00F3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E3D68"/>
  <w15:docId w15:val="{39E81184-D29D-4478-977F-6CB1A6D5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pPr>
      <w:spacing w:after="157" w:line="319" w:lineRule="auto"/>
      <w:ind w:left="42" w:hanging="10"/>
    </w:pPr>
    <w:rPr>
      <w:rFonts w:ascii="Arial" w:eastAsia="Arial" w:hAnsi="Arial" w:cs="Arial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7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0DF20EDF6B3BC47A778D12174668569" ma:contentTypeVersion="2" ma:contentTypeDescription="Új dokumentum létrehozása." ma:contentTypeScope="" ma:versionID="1a7a2e60f07557e2c660c221c8ccc780">
  <xsd:schema xmlns:xsd="http://www.w3.org/2001/XMLSchema" xmlns:xs="http://www.w3.org/2001/XMLSchema" xmlns:p="http://schemas.microsoft.com/office/2006/metadata/properties" xmlns:ns2="57019cb3-6d2c-4225-8c2d-84c41cac6b39" targetNamespace="http://schemas.microsoft.com/office/2006/metadata/properties" ma:root="true" ma:fieldsID="0fe7eb4d32072cff2a28d9e7de1fc471" ns2:_="">
    <xsd:import namespace="57019cb3-6d2c-4225-8c2d-84c41cac6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19cb3-6d2c-4225-8c2d-84c41cac6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F602BE-11B3-4337-A5BF-15A0F5EDE7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CA5B59-0F03-4B19-BD7E-BA91BBE61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19cb3-6d2c-4225-8c2d-84c41cac6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CE2A05-F290-4F5F-80B4-A1545CBAFD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344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</dc:creator>
  <cp:keywords/>
  <cp:lastModifiedBy>Mike MC</cp:lastModifiedBy>
  <cp:revision>4</cp:revision>
  <dcterms:created xsi:type="dcterms:W3CDTF">2020-05-25T11:03:00Z</dcterms:created>
  <dcterms:modified xsi:type="dcterms:W3CDTF">2020-05-28T15:41:00Z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0x01010070DF20EDF6B3BC47A778D12174668569</vt:lpwstr>
  </property>
</Properties>
</file>