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00"/>
        <w:jc w:val="center"/>
        <w:rPr>
          <w:rFonts w:ascii="Calibri Light" w:hAnsi="Calibri Light" w:asciiTheme="majorHAnsi" w:hAnsiTheme="majorHAnsi"/>
          <w:b/>
          <w:b/>
          <w:bCs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color w:val="000000" w:themeColor="text1"/>
          <w:sz w:val="22"/>
          <w:szCs w:val="22"/>
        </w:rPr>
        <w:t>A nevelés feladat és eszközrendszere-a nevelés módszerei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i/>
          <w:i/>
          <w:iCs/>
          <w:color w:val="000000" w:themeColor="text1"/>
        </w:rPr>
      </w:pPr>
      <w:r>
        <w:rPr>
          <w:rFonts w:asciiTheme="majorHAnsi" w:hAnsiTheme="majorHAnsi" w:ascii="Calibri Light" w:hAnsi="Calibri Light"/>
          <w:b/>
          <w:bCs/>
          <w:i/>
          <w:iCs/>
          <w:color w:val="000000" w:themeColor="text1"/>
        </w:rPr>
      </w:r>
    </w:p>
    <w:p>
      <w:pPr>
        <w:pStyle w:val="NormalWeb"/>
        <w:spacing w:beforeAutospacing="0" w:before="0" w:afterAutospacing="0" w:after="200"/>
        <w:rPr>
          <w:rFonts w:ascii="Calibri Light" w:hAnsi="Calibri Light" w:asciiTheme="majorHAnsi" w:hAnsiTheme="majorHAnsi"/>
          <w:b/>
          <w:b/>
          <w:bCs/>
          <w:i/>
          <w:i/>
          <w:iCs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i/>
          <w:iCs/>
          <w:color w:val="000000" w:themeColor="text1"/>
          <w:sz w:val="22"/>
          <w:szCs w:val="22"/>
        </w:rPr>
        <w:t>A nevelési módszer helye a nevelés feladat és eszközrendszerében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Times New Roman" w:ascii="Calibri Light" w:hAnsi="Calibri Light" w:asciiTheme="majorHAnsi" w:hAnsiTheme="majorHAnsi"/>
          <w:color w:val="000000" w:themeColor="text1"/>
        </w:rPr>
        <w:t>A nevelési eszköz fogalma szűkebb és tágabb értelemben is használatos a pedagógiában. Tágabb értelemben vett nevelési eszköznek szokás nevezni azokat az utakat, nevelési formákat (az oktatást és a szűkebb értelemben vett nevelést), amelyek révén a nevelés megvalósul. Ezzel a szóhasználattal mondhatjuk például azt, hogy az oktatás a nevelés eszköze, sőt fő eszköze.</w:t>
      </w:r>
    </w:p>
    <w:p>
      <w:pPr>
        <w:pStyle w:val="ListParagraph"/>
        <w:numPr>
          <w:ilvl w:val="0"/>
          <w:numId w:val="7"/>
        </w:numPr>
        <w:rPr/>
      </w:pPr>
      <w:r>
        <w:rPr>
          <w:rFonts w:eastAsia="Times New Roman" w:ascii="Calibri Light" w:hAnsi="Calibri Light" w:asciiTheme="majorHAnsi" w:hAnsiTheme="majorHAnsi"/>
          <w:color w:val="000000" w:themeColor="text1"/>
        </w:rPr>
        <w:t>Nevelési módszernek nevezzük a nevelőmunka gyakorlati végrehajtása során egy-egy nevelési feladat, helyzet, probléma megoldásának módját, menetét. A mód szó itt arra utal, ahogyan a problémát megoldjuk, a menet pedig arra, hogy a megoldás nem csak egy, hanem több lépésben is történhet.</w:t>
      </w:r>
    </w:p>
    <w:p>
      <w:pPr>
        <w:pStyle w:val="Normal"/>
        <w:ind w:left="0" w:hanging="0"/>
        <w:rPr>
          <w:b/>
          <w:b/>
          <w:bCs/>
        </w:rPr>
      </w:pPr>
      <w:r>
        <w:rPr>
          <w:rFonts w:ascii="Calibri Light" w:hAnsi="Calibri Light" w:asciiTheme="majorHAnsi" w:hAnsiTheme="majorHAnsi"/>
          <w:b/>
          <w:bCs/>
          <w:i/>
          <w:iCs/>
          <w:color w:val="000000" w:themeColor="text1"/>
        </w:rPr>
        <w:t>A nevelési módszer fogalma</w:t>
      </w:r>
    </w:p>
    <w:p>
      <w:pPr>
        <w:pStyle w:val="Normal"/>
        <w:numPr>
          <w:ilvl w:val="0"/>
          <w:numId w:val="8"/>
        </w:numPr>
        <w:rPr>
          <w:rFonts w:ascii="Calibri Light" w:hAnsi="Calibri Light" w:asciiTheme="majorHAnsi" w:hAnsiTheme="majorHAnsi"/>
          <w:color w:val="000000" w:themeColor="text1"/>
        </w:rPr>
      </w:pPr>
      <w:r>
        <w:rPr/>
        <w:t>Nevelési módszer: a kitűzött nevelési cél elérésének érdekében alkalmazott eljárás. Célja, hogy a gyermekeket pozitív tevékenységre késztessük, a negatív hatásokat pedig kiküszöböljük.</w:t>
      </w:r>
    </w:p>
    <w:p>
      <w:pPr>
        <w:pStyle w:val="Normal"/>
        <w:rPr>
          <w:rFonts w:ascii="Calibri Light" w:hAnsi="Calibri Light" w:asciiTheme="majorHAnsi" w:hAnsiTheme="majorHAnsi"/>
          <w:b/>
          <w:b/>
          <w:bCs/>
          <w:i/>
          <w:i/>
          <w:iCs/>
          <w:color w:val="000000" w:themeColor="text1"/>
        </w:rPr>
      </w:pPr>
      <w:r>
        <w:rPr>
          <w:rFonts w:ascii="Calibri Light" w:hAnsi="Calibri Light" w:asciiTheme="majorHAnsi" w:hAnsiTheme="majorHAnsi"/>
          <w:b/>
          <w:bCs/>
          <w:i/>
          <w:iCs/>
          <w:color w:val="000000" w:themeColor="text1"/>
        </w:rPr>
        <w:t>A módszert meghatározó tényezők:</w:t>
      </w:r>
    </w:p>
    <w:p>
      <w:pPr>
        <w:pStyle w:val="Normal"/>
        <w:numPr>
          <w:ilvl w:val="0"/>
          <w:numId w:val="2"/>
        </w:numPr>
        <w:rPr/>
      </w:pPr>
      <w:r>
        <w:rPr/>
        <w:t>a nevelési cél,</w:t>
      </w:r>
    </w:p>
    <w:p>
      <w:pPr>
        <w:pStyle w:val="Normal"/>
        <w:numPr>
          <w:ilvl w:val="0"/>
          <w:numId w:val="2"/>
        </w:numPr>
        <w:rPr/>
      </w:pPr>
      <w:r>
        <w:rPr/>
        <w:t>a nevelési feladat,</w:t>
      </w:r>
    </w:p>
    <w:p>
      <w:pPr>
        <w:pStyle w:val="Normal"/>
        <w:numPr>
          <w:ilvl w:val="0"/>
          <w:numId w:val="2"/>
        </w:numPr>
        <w:rPr/>
      </w:pPr>
      <w:r>
        <w:rPr/>
        <w:t>tanulók életkora, értelmi fejlettsége, képességei, sajátosságai</w:t>
      </w:r>
    </w:p>
    <w:p>
      <w:pPr>
        <w:pStyle w:val="Normal"/>
        <w:numPr>
          <w:ilvl w:val="0"/>
          <w:numId w:val="2"/>
        </w:numPr>
        <w:rPr/>
      </w:pPr>
      <w:r>
        <w:rPr/>
        <w:t>a tanár személyisége, pedagógiai kulturáltsága, felkészültsége,</w:t>
      </w:r>
    </w:p>
    <w:p>
      <w:pPr>
        <w:pStyle w:val="Normal"/>
        <w:numPr>
          <w:ilvl w:val="0"/>
          <w:numId w:val="2"/>
        </w:numPr>
        <w:rPr/>
      </w:pPr>
      <w:r>
        <w:rPr/>
        <w:t>a tanár vezetési stílusa,</w:t>
      </w:r>
    </w:p>
    <w:p>
      <w:pPr>
        <w:pStyle w:val="Normal"/>
        <w:numPr>
          <w:ilvl w:val="0"/>
          <w:numId w:val="2"/>
        </w:numPr>
        <w:rPr>
          <w:rFonts w:ascii="Calibri Light" w:hAnsi="Calibri Light" w:eastAsia="Times New Roman" w:asciiTheme="majorHAnsi" w:hAnsiTheme="majorHAnsi"/>
          <w:color w:val="000000" w:themeColor="text1"/>
          <w:sz w:val="22"/>
          <w:szCs w:val="22"/>
        </w:rPr>
      </w:pPr>
      <w:r>
        <w:rPr/>
        <w:t>a pedagógiai szituáció és annak tartalma</w:t>
      </w:r>
    </w:p>
    <w:p>
      <w:pPr>
        <w:pStyle w:val="Normal"/>
        <w:rPr>
          <w:rFonts w:ascii="Calibri Light" w:hAnsi="Calibri Light" w:eastAsia="Times New Roman" w:asciiTheme="majorHAnsi" w:hAnsiTheme="majorHAnsi"/>
          <w:b/>
          <w:b/>
          <w:bCs/>
          <w:i/>
          <w:i/>
          <w:iCs/>
          <w:color w:val="000000" w:themeColor="text1"/>
          <w:highlight w:val="white"/>
        </w:rPr>
      </w:pPr>
      <w:r>
        <w:rPr>
          <w:rFonts w:eastAsia="Times New Roman" w:ascii="Calibri Light" w:hAnsi="Calibri Light" w:asciiTheme="majorHAnsi" w:hAnsiTheme="majorHAnsi"/>
          <w:color w:val="000000" w:themeColor="text1"/>
        </w:rPr>
        <w:br/>
      </w:r>
      <w:r>
        <w:rPr>
          <w:rFonts w:eastAsia="Times New Roman" w:ascii="Calibri Light" w:hAnsi="Calibri Light" w:asciiTheme="majorHAnsi" w:hAnsiTheme="majorHAnsi"/>
          <w:b/>
          <w:bCs/>
          <w:i/>
          <w:iCs/>
          <w:color w:val="000000" w:themeColor="text1"/>
          <w:shd w:fill="F5F5F5" w:val="clear"/>
        </w:rPr>
        <w:t>Nevelési eszköz:</w:t>
      </w:r>
    </w:p>
    <w:p>
      <w:pPr>
        <w:pStyle w:val="Normal"/>
        <w:numPr>
          <w:ilvl w:val="0"/>
          <w:numId w:val="6"/>
        </w:numPr>
        <w:rPr>
          <w:rFonts w:ascii="Calibri Light" w:hAnsi="Calibri Light" w:eastAsia="Times New Roman" w:asciiTheme="majorHAnsi" w:hAnsiTheme="majorHAnsi"/>
          <w:i/>
          <w:i/>
          <w:iCs/>
          <w:color w:val="000000" w:themeColor="text1"/>
          <w:highlight w:val="white"/>
        </w:rPr>
      </w:pPr>
      <w:r>
        <w:rPr/>
        <w:t>a gyermekek fő tevékenységformáit jelenti: a játékot, tanulást, a munkát, a sportot, a szabadidőt stb.</w:t>
      </w:r>
    </w:p>
    <w:p>
      <w:pPr>
        <w:pStyle w:val="NormalWeb"/>
        <w:spacing w:beforeAutospacing="0" w:before="0" w:afterAutospacing="0" w:after="200"/>
        <w:rPr>
          <w:rFonts w:ascii="Calibri Light" w:hAnsi="Calibri Light" w:asciiTheme="majorHAnsi" w:hAnsiTheme="majorHAnsi"/>
          <w:b/>
          <w:b/>
          <w:bCs/>
          <w:i/>
          <w:i/>
          <w:iCs/>
          <w:color w:val="000000" w:themeColor="text1"/>
          <w:sz w:val="22"/>
          <w:szCs w:val="22"/>
        </w:rPr>
      </w:pPr>
      <w:r>
        <w:rPr>
          <w:rFonts w:ascii="Calibri Light" w:hAnsi="Calibri Light" w:asciiTheme="majorHAnsi" w:hAnsiTheme="majorHAnsi"/>
          <w:b/>
          <w:bCs/>
          <w:i/>
          <w:iCs/>
          <w:color w:val="000000" w:themeColor="text1"/>
          <w:sz w:val="22"/>
          <w:szCs w:val="22"/>
        </w:rPr>
        <w:t>A nevelési módszerek csoportosítása a nevelési folyamatban betöltött szerepük alapján:</w:t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color w:val="000000" w:themeColor="text1"/>
          <w:sz w:val="22"/>
          <w:szCs w:val="22"/>
        </w:rPr>
      </w:pPr>
      <w:r>
        <w:rPr/>
        <w:t>1. A meggyőzés, a felvilágosítás, a tudatosítás módszerei:</w:t>
      </w:r>
    </w:p>
    <w:p>
      <w:pPr>
        <w:pStyle w:val="Normal"/>
        <w:numPr>
          <w:ilvl w:val="0"/>
          <w:numId w:val="5"/>
        </w:numPr>
        <w:rPr/>
      </w:pPr>
      <w:r>
        <w:rPr/>
        <w:t>az oktatás valamennyi módszere,</w:t>
      </w:r>
    </w:p>
    <w:p>
      <w:pPr>
        <w:pStyle w:val="Normal"/>
        <w:numPr>
          <w:ilvl w:val="0"/>
          <w:numId w:val="5"/>
        </w:numPr>
        <w:rPr/>
      </w:pPr>
      <w:r>
        <w:rPr/>
        <w:t>példa, példakép állítás módszere,</w:t>
      </w:r>
    </w:p>
    <w:p>
      <w:pPr>
        <w:pStyle w:val="Normal"/>
        <w:numPr>
          <w:ilvl w:val="0"/>
          <w:numId w:val="5"/>
        </w:numPr>
        <w:rPr/>
      </w:pPr>
      <w:r>
        <w:rPr/>
        <w:t>a bírálat, önbírálat módszere,</w:t>
      </w:r>
    </w:p>
    <w:p>
      <w:pPr>
        <w:pStyle w:val="Normal"/>
        <w:numPr>
          <w:ilvl w:val="0"/>
          <w:numId w:val="5"/>
        </w:numPr>
        <w:rPr/>
      </w:pPr>
      <w:r>
        <w:rPr/>
        <w:t>a beszélgetés, a felvilágosítás módszere,</w:t>
      </w:r>
    </w:p>
    <w:p>
      <w:pPr>
        <w:pStyle w:val="Normal"/>
        <w:numPr>
          <w:ilvl w:val="0"/>
          <w:numId w:val="5"/>
        </w:numPr>
        <w:rPr>
          <w:rFonts w:ascii="Calibri Light" w:hAnsi="Calibri Light" w:eastAsia="Times New Roman" w:asciiTheme="majorHAnsi" w:hAnsiTheme="majorHAnsi"/>
          <w:color w:val="000000" w:themeColor="text1"/>
          <w:sz w:val="22"/>
          <w:szCs w:val="22"/>
        </w:rPr>
      </w:pPr>
      <w:r>
        <w:rPr/>
        <w:t>az előadás, a tájékoztatás, a vita módszere.</w:t>
      </w:r>
    </w:p>
    <w:p>
      <w:pPr>
        <w:pStyle w:val="Normal"/>
        <w:rPr>
          <w:rFonts w:ascii="Calibri Light" w:hAnsi="Calibri Light" w:asciiTheme="majorHAnsi" w:hAnsiTheme="majorHAnsi"/>
          <w:i/>
          <w:i/>
          <w:iCs/>
          <w:color w:val="000000" w:themeColor="text1"/>
          <w:sz w:val="22"/>
          <w:szCs w:val="22"/>
        </w:rPr>
      </w:pPr>
      <w:r>
        <w:rPr/>
        <w:t>2. A tevékenység megszervezésének módszerei:</w:t>
      </w:r>
    </w:p>
    <w:p>
      <w:pPr>
        <w:pStyle w:val="Normal"/>
        <w:numPr>
          <w:ilvl w:val="0"/>
          <w:numId w:val="4"/>
        </w:numPr>
        <w:rPr/>
      </w:pPr>
      <w:r>
        <w:rPr/>
        <w:t>a követelés, a megbízás, az ellenőrzés módszere,</w:t>
      </w:r>
    </w:p>
    <w:p>
      <w:pPr>
        <w:pStyle w:val="Normal"/>
        <w:numPr>
          <w:ilvl w:val="0"/>
          <w:numId w:val="4"/>
        </w:numPr>
        <w:rPr/>
      </w:pPr>
      <w:r>
        <w:rPr/>
        <w:t>a verseny, a játékos módszerek,</w:t>
      </w:r>
    </w:p>
    <w:p>
      <w:pPr>
        <w:pStyle w:val="Normal"/>
        <w:numPr>
          <w:ilvl w:val="0"/>
          <w:numId w:val="4"/>
        </w:numPr>
        <w:rPr>
          <w:rFonts w:ascii="Calibri Light" w:hAnsi="Calibri Light" w:eastAsia="Times New Roman" w:asciiTheme="majorHAnsi" w:hAnsiTheme="majorHAnsi"/>
          <w:color w:val="000000" w:themeColor="text1"/>
          <w:sz w:val="22"/>
          <w:szCs w:val="22"/>
        </w:rPr>
      </w:pPr>
      <w:r>
        <w:rPr/>
        <w:t>az oktatás, a gyakorlás módszere.</w:t>
      </w:r>
    </w:p>
    <w:p>
      <w:pPr>
        <w:pStyle w:val="Normal"/>
        <w:rPr>
          <w:rFonts w:ascii="Calibri Light" w:hAnsi="Calibri Light" w:eastAsia="Times New Roman" w:asciiTheme="majorHAnsi" w:hAnsiTheme="majorHAnsi"/>
          <w:color w:val="000000" w:themeColor="text1"/>
          <w:sz w:val="22"/>
          <w:szCs w:val="22"/>
        </w:rPr>
      </w:pPr>
      <w:r>
        <w:rPr/>
      </w:r>
    </w:p>
    <w:p>
      <w:pPr>
        <w:pStyle w:val="Normal"/>
        <w:rPr>
          <w:rFonts w:ascii="Calibri Light" w:hAnsi="Calibri Light" w:eastAsia="Times New Roman" w:asciiTheme="majorHAnsi" w:hAnsiTheme="majorHAnsi"/>
          <w:i/>
          <w:i/>
          <w:iCs/>
          <w:color w:val="000000" w:themeColor="text1"/>
          <w:sz w:val="22"/>
          <w:szCs w:val="22"/>
        </w:rPr>
      </w:pPr>
      <w:r>
        <w:rPr/>
        <w:t>3. Magatartásra ható módszerek:</w:t>
      </w:r>
    </w:p>
    <w:p>
      <w:pPr>
        <w:pStyle w:val="Normal"/>
        <w:numPr>
          <w:ilvl w:val="0"/>
          <w:numId w:val="3"/>
        </w:numPr>
        <w:rPr/>
      </w:pPr>
      <w:r>
        <w:rPr/>
        <w:t>az ösztönzés, serkentés módszerei: ígéret, helyeslés, megerősítés, megértés, törődés, bíztatás, elismerés, dicséret, kiemelés, jutalmazás, motiválás, vigasztalás, bátorítás, szeretetadás stb.</w:t>
      </w:r>
    </w:p>
    <w:p>
      <w:pPr>
        <w:pStyle w:val="Normal"/>
        <w:numPr>
          <w:ilvl w:val="0"/>
          <w:numId w:val="3"/>
        </w:numPr>
        <w:rPr/>
      </w:pPr>
      <w:r>
        <w:rPr/>
        <w:t>kényszerítő módszerek: felügyelet, követelés, felszólítás, kérés, utasítás, intés, figyelmeztetés, fegyelmezés, elmarasztalás, korlátozás, szankcionálás, átterelés, parancs, büntetés, fenyegetés, tilalom, ellenőrzés stb.</w:t>
      </w:r>
    </w:p>
    <w:p>
      <w:pPr>
        <w:pStyle w:val="Normal"/>
        <w:numPr>
          <w:ilvl w:val="0"/>
          <w:numId w:val="3"/>
        </w:numPr>
        <w:rPr>
          <w:rFonts w:ascii="Calibri Light" w:hAnsi="Calibri Light" w:eastAsia="Times New Roman" w:asciiTheme="majorHAnsi" w:hAnsiTheme="majorHAnsi"/>
          <w:color w:val="000000" w:themeColor="text1"/>
          <w:sz w:val="22"/>
          <w:szCs w:val="22"/>
        </w:rPr>
      </w:pPr>
      <w:r>
        <w:rPr/>
        <w:t>gátlást kiváltó módszerek:</w:t>
        <w:br/>
        <w:t>felügyelet, követelés, felszólítás, kérés, utasítás, intés, figyelmeztetés, fegyelmezés, elmarasztalás, korlátozás, szankcionálás, átterelés, parancs, büntetés, fenyegetés, tilalom, ellenőrzés stb.</w:t>
      </w:r>
    </w:p>
    <w:p>
      <w:pPr>
        <w:pStyle w:val="Normal"/>
        <w:rPr>
          <w:rFonts w:ascii="Calibri Light" w:hAnsi="Calibri Light" w:cs="Times New Roman" w:asciiTheme="majorHAnsi" w:hAnsiTheme="majorHAnsi"/>
          <w:b/>
          <w:b/>
          <w:u w:val="single"/>
        </w:rPr>
      </w:pPr>
      <w:r>
        <w:rPr>
          <w:rFonts w:cs="Times New Roman" w:ascii="Calibri Light" w:hAnsi="Calibri Light"/>
          <w:b/>
          <w:u w:val="single"/>
        </w:rPr>
      </w:r>
    </w:p>
    <w:p>
      <w:pPr>
        <w:pStyle w:val="Normal"/>
        <w:rPr>
          <w:rFonts w:ascii="Calibri Light" w:hAnsi="Calibri Light" w:cs="Times New Roman" w:asciiTheme="majorHAnsi" w:hAnsiTheme="majorHAnsi"/>
          <w:b/>
          <w:b/>
          <w:u w:val="single"/>
        </w:rPr>
      </w:pPr>
      <w:r>
        <w:rPr>
          <w:rFonts w:cs="Times New Roman" w:ascii="Calibri Light" w:hAnsi="Calibri Light" w:asciiTheme="majorHAnsi" w:hAnsiTheme="majorHAnsi"/>
          <w:b/>
          <w:u w:val="single"/>
        </w:rPr>
        <w:t>A meggyőzés és a tevékenység megszervezésének módszerei</w:t>
      </w:r>
    </w:p>
    <w:p>
      <w:pPr>
        <w:pStyle w:val="Normal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 w:asciiTheme="majorHAnsi" w:hAnsiTheme="majorHAnsi"/>
        </w:rPr>
        <w:t>Kozma Béla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az oktatás valamennyi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módszere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példa, példaadás, példakép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bírálat, önbírálat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beszélgetés, felvilágosítás</w:t>
      </w:r>
    </w:p>
    <w:p>
      <w:pPr>
        <w:pStyle w:val="ListParagraph"/>
        <w:numPr>
          <w:ilvl w:val="0"/>
          <w:numId w:val="9"/>
        </w:numPr>
        <w:spacing w:lineRule="auto" w:line="276" w:before="0" w:after="200"/>
        <w:contextualSpacing/>
        <w:rPr/>
      </w:pPr>
      <w:r>
        <w:rPr>
          <w:rFonts w:cs="Times New Roman" w:ascii="Calibri Light" w:hAnsi="Calibri Light" w:asciiTheme="majorHAnsi" w:hAnsiTheme="majorHAnsi"/>
        </w:rPr>
        <w:t>előadás, tájékoztatás, vita</w:t>
      </w:r>
    </w:p>
    <w:p>
      <w:pPr>
        <w:pStyle w:val="Normal"/>
        <w:rPr>
          <w:rFonts w:ascii="Calibri Light" w:hAnsi="Calibri Light" w:cs="Times New Roman" w:asciiTheme="majorHAnsi" w:hAnsiTheme="majorHAnsi"/>
          <w:b/>
          <w:b/>
          <w:u w:val="single"/>
        </w:rPr>
      </w:pPr>
      <w:r>
        <w:rPr>
          <w:rFonts w:cs="Times New Roman" w:ascii="Calibri Light" w:hAnsi="Calibri Light" w:asciiTheme="majorHAnsi" w:hAnsiTheme="majorHAnsi"/>
          <w:b/>
          <w:u w:val="single"/>
        </w:rPr>
        <w:t>A magatartásra ható módszerek</w:t>
      </w:r>
    </w:p>
    <w:p>
      <w:pPr>
        <w:pStyle w:val="Normal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 w:asciiTheme="majorHAnsi" w:hAnsiTheme="majorHAnsi"/>
        </w:rPr>
        <w:t>Kozma Béla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>
          <w:rFonts w:cs="Times New Roman" w:ascii="Calibri Light" w:hAnsi="Calibri Light" w:asciiTheme="majorHAnsi" w:hAnsiTheme="majorHAnsi"/>
          <w:i/>
          <w:iCs/>
        </w:rPr>
        <w:t xml:space="preserve">az ösztönzés, serkentés módszerei: </w:t>
      </w:r>
      <w:r>
        <w:rPr>
          <w:rFonts w:cs="Times New Roman" w:ascii="Calibri Light" w:hAnsi="Calibri Light" w:asciiTheme="majorHAnsi" w:hAnsiTheme="majorHAnsi"/>
        </w:rPr>
        <w:t>ígéret, helyeslés, megerősítés, megértés, törődés, b</w:t>
      </w:r>
      <w:r>
        <w:rPr>
          <w:rFonts w:cs="Times New Roman" w:ascii="Calibri Light" w:hAnsi="Calibri Light" w:asciiTheme="majorHAnsi" w:hAnsiTheme="majorHAnsi"/>
        </w:rPr>
        <w:t>i</w:t>
      </w:r>
      <w:r>
        <w:rPr>
          <w:rFonts w:cs="Times New Roman" w:ascii="Calibri Light" w:hAnsi="Calibri Light" w:asciiTheme="majorHAnsi" w:hAnsiTheme="majorHAnsi"/>
        </w:rPr>
        <w:t>ztatás, elismerés, dicséret, kiemelés, jutalmazás, motiválás, vigasztalás, bátorítás, szeretetadás stb.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>
          <w:rFonts w:cs="Times New Roman" w:ascii="Calibri Light" w:hAnsi="Calibri Light" w:asciiTheme="majorHAnsi" w:hAnsiTheme="majorHAnsi"/>
          <w:i/>
          <w:iCs/>
        </w:rPr>
        <w:t xml:space="preserve">kényszerítő módszerek: </w:t>
      </w:r>
      <w:r>
        <w:rPr>
          <w:rFonts w:cs="Times New Roman" w:ascii="Calibri Light" w:hAnsi="Calibri Light" w:asciiTheme="majorHAnsi" w:hAnsiTheme="majorHAnsi"/>
        </w:rPr>
        <w:t>felügyelet,  követelés, felszólítás, kérés, utasítás, intés, figyelmeztetés, fegyelmezés, elmarasztalás, korlátozás, szankcionálás, átterelés, parancs, büntetés, fenyegetés, tilalom, ellenőrzés stb.</w:t>
      </w:r>
    </w:p>
    <w:p>
      <w:pPr>
        <w:pStyle w:val="ListParagraph"/>
        <w:numPr>
          <w:ilvl w:val="0"/>
          <w:numId w:val="10"/>
        </w:numPr>
        <w:spacing w:lineRule="auto" w:line="276" w:before="0" w:after="200"/>
        <w:contextualSpacing/>
        <w:jc w:val="both"/>
        <w:rPr/>
      </w:pPr>
      <w:r>
        <w:rPr>
          <w:rFonts w:cs="Times New Roman" w:ascii="Calibri Light" w:hAnsi="Calibri Light" w:asciiTheme="majorHAnsi" w:hAnsiTheme="majorHAnsi"/>
          <w:i/>
          <w:iCs/>
        </w:rPr>
        <w:t xml:space="preserve">gátlást kiváltó módszerek: </w:t>
      </w:r>
      <w:r>
        <w:rPr>
          <w:rFonts w:cs="Times New Roman" w:ascii="Calibri Light" w:hAnsi="Calibri Light" w:asciiTheme="majorHAnsi" w:hAnsiTheme="majorHAnsi"/>
        </w:rPr>
        <w:t>felügyelet, követelés, felszólítás, kérés, utasítás, intés, figyelmeztetés, fegyelmezés, elmarasztalás, korlátozás, szankcionálás, átterelés, parancs, büntetés, fenyegetés, tilalom, ellenőrzés stb.</w:t>
      </w:r>
    </w:p>
    <w:p>
      <w:pPr>
        <w:pStyle w:val="ListParagraph"/>
        <w:jc w:val="both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ListParagraph"/>
        <w:jc w:val="both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ListParagraph"/>
        <w:jc w:val="both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ListParagraph"/>
        <w:ind w:left="0" w:hanging="0"/>
        <w:jc w:val="both"/>
        <w:rPr>
          <w:rFonts w:ascii="Calibri Light" w:hAnsi="Calibri Light" w:cs="Times New Roman" w:asciiTheme="majorHAnsi" w:hAnsiTheme="majorHAnsi"/>
          <w:b/>
          <w:b/>
          <w:u w:val="single"/>
        </w:rPr>
      </w:pPr>
      <w:r>
        <w:rPr>
          <w:rFonts w:cs="Times New Roman" w:ascii="Calibri Light" w:hAnsi="Calibri Light" w:asciiTheme="majorHAnsi" w:hAnsiTheme="majorHAnsi"/>
          <w:b/>
          <w:u w:val="single"/>
        </w:rPr>
        <w:t>A nevelési módszer kiválasztásának szempontjai</w:t>
      </w:r>
    </w:p>
    <w:p>
      <w:pPr>
        <w:pStyle w:val="ListParagraph"/>
        <w:ind w:left="0" w:hanging="0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/>
        </w:rPr>
      </w:r>
    </w:p>
    <w:p>
      <w:pPr>
        <w:pStyle w:val="ListParagraph"/>
        <w:ind w:left="0" w:hanging="0"/>
        <w:rPr>
          <w:rFonts w:ascii="Calibri Light" w:hAnsi="Calibri Light" w:cs="Times New Roman" w:asciiTheme="majorHAnsi" w:hAnsiTheme="majorHAnsi"/>
        </w:rPr>
      </w:pPr>
      <w:r>
        <w:rPr>
          <w:rFonts w:cs="Times New Roman" w:ascii="Calibri Light" w:hAnsi="Calibri Light" w:asciiTheme="majorHAnsi" w:hAnsiTheme="majorHAnsi"/>
        </w:rPr>
        <w:t>Bábosik István</w:t>
      </w:r>
    </w:p>
    <w:p>
      <w:pPr>
        <w:pStyle w:val="Normal"/>
        <w:rPr>
          <w:rFonts w:ascii="Calibri Light" w:hAnsi="Calibri Light" w:eastAsia="Times New Roman" w:asciiTheme="majorHAnsi" w:hAnsiTheme="majorHAnsi"/>
          <w:color w:val="000000" w:themeColor="text1"/>
          <w:highlight w:val="white"/>
        </w:rPr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14605</wp:posOffset>
            </wp:positionH>
            <wp:positionV relativeFrom="paragraph">
              <wp:posOffset>-84455</wp:posOffset>
            </wp:positionV>
            <wp:extent cx="5753100" cy="4000500"/>
            <wp:effectExtent l="0" t="0" r="0" b="0"/>
            <wp:wrapSquare wrapText="bothSides"/>
            <wp:docPr id="1" name="Kép 0" descr="260275651_328482451992211_436647615939198927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0" descr="260275651_328482451992211_4366476159391989272_n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 Light" w:hAnsi="Calibri Light" w:eastAsia="Times New Roman" w:asciiTheme="majorHAnsi" w:hAnsiTheme="majorHAnsi"/>
          <w:color w:val="000000" w:themeColor="text1"/>
          <w:highlight w:val="white"/>
        </w:rPr>
      </w:pPr>
      <w:r>
        <w:rPr/>
        <w:t>Forrás:</w:t>
      </w:r>
    </w:p>
    <w:p>
      <w:pPr>
        <w:pStyle w:val="Normal"/>
        <w:numPr>
          <w:ilvl w:val="0"/>
          <w:numId w:val="11"/>
        </w:numPr>
        <w:rPr/>
      </w:pPr>
      <w:hyperlink r:id="rId3">
        <w:r>
          <w:rPr>
            <w:rStyle w:val="Internethivatkozs"/>
          </w:rPr>
          <w:t>https://www.google.com/amp/s/docplayer.hu/amp/10582392-A-neveles-eszkozrendszere-dr-nyeki-lajos-2015.html</w:t>
        </w:r>
      </w:hyperlink>
    </w:p>
    <w:p>
      <w:pPr>
        <w:pStyle w:val="Normal"/>
        <w:numPr>
          <w:ilvl w:val="0"/>
          <w:numId w:val="11"/>
        </w:numPr>
        <w:rPr/>
      </w:pPr>
      <w:hyperlink r:id="rId4">
        <w:r>
          <w:rPr>
            <w:rStyle w:val="Internethivatkozs"/>
          </w:rPr>
          <w:t>http://okt.ektf.hu/data/szlahorek/file/hunline_pedpszi/16_pedagogus_mesterseg/224_a_nevels_mdszerei.html</w:t>
        </w:r>
      </w:hyperlink>
    </w:p>
    <w:p>
      <w:pPr>
        <w:pStyle w:val="Normal"/>
        <w:numPr>
          <w:ilvl w:val="0"/>
          <w:numId w:val="11"/>
        </w:numPr>
        <w:rPr>
          <w:rFonts w:ascii="Calibri Light" w:hAnsi="Calibri Light" w:eastAsia="Times New Roman" w:asciiTheme="majorHAnsi" w:hAnsiTheme="majorHAnsi"/>
          <w:color w:val="000000" w:themeColor="text1"/>
          <w:highlight w:val="white"/>
        </w:rPr>
      </w:pPr>
      <w:hyperlink r:id="rId5">
        <w:r>
          <w:rPr>
            <w:rStyle w:val="Internethivatkozs"/>
          </w:rPr>
          <w:t>http://polc.ttk.pte.hu/tamop-4.1.2.b.2-13/1-2013-0014/97/a_nevelsi_mdszerek_csoportostsa_a_nevels_folyamatban_betlttt_szerepk_szerint.html</w:t>
        </w:r>
      </w:hyperlink>
    </w:p>
    <w:p>
      <w:pPr>
        <w:pStyle w:val="ListParagraph"/>
        <w:rPr>
          <w:rFonts w:ascii="Calibri Light" w:hAnsi="Calibri Light" w:eastAsia="Times New Roman" w:asciiTheme="majorHAnsi" w:hAnsiTheme="majorHAnsi"/>
          <w:color w:val="000000" w:themeColor="text1"/>
          <w:highlight w:val="white"/>
        </w:rPr>
      </w:pPr>
      <w:r>
        <w:rPr>
          <w:rFonts w:eastAsia="Times New Roman" w:ascii="Calibri Light" w:hAnsi="Calibri Light"/>
          <w:color w:val="000000" w:themeColor="text1"/>
          <w:shd w:fill="F5F5F5" w:val="clear"/>
        </w:rPr>
      </w:r>
    </w:p>
    <w:p>
      <w:pPr>
        <w:pStyle w:val="Normal"/>
        <w:rPr>
          <w:rFonts w:ascii="Calibri Light" w:hAnsi="Calibri Light" w:eastAsia="Times New Roman" w:asciiTheme="majorHAnsi" w:hAnsiTheme="majorHAnsi"/>
          <w:color w:val="000000" w:themeColor="text1"/>
          <w:highlight w:val="white"/>
        </w:rPr>
      </w:pPr>
      <w:r>
        <w:rPr>
          <w:rFonts w:eastAsia="Times New Roman" w:ascii="Calibri Light" w:hAnsi="Calibri Light"/>
          <w:color w:val="000000" w:themeColor="text1"/>
          <w:shd w:fill="F5F5F5" w:val="clear"/>
        </w:rPr>
      </w:r>
    </w:p>
    <w:p>
      <w:pPr>
        <w:pStyle w:val="Normal"/>
        <w:spacing w:before="0" w:after="160"/>
        <w:rPr>
          <w:rFonts w:ascii="Calibri Light" w:hAnsi="Calibri Light" w:asciiTheme="majorHAnsi" w:hAnsiTheme="majorHAnsi"/>
          <w:color w:val="000000" w:themeColor="text1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814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144de"/>
    <w:rPr>
      <w:color w:val="605E5C"/>
      <w:shd w:fill="E1DFDD" w:val="clear"/>
    </w:rPr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f1574e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44c9"/>
    <w:pPr>
      <w:spacing w:before="0" w:after="160"/>
      <w:ind w:left="720" w:hanging="0"/>
      <w:contextualSpacing/>
    </w:pPr>
    <w:rPr/>
  </w:style>
  <w:style w:type="paragraph" w:styleId="Szveg" w:customStyle="1">
    <w:name w:val="szveg"/>
    <w:basedOn w:val="Normal"/>
    <w:qFormat/>
    <w:rsid w:val="0040286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Felsorols1" w:customStyle="1">
    <w:name w:val="felsorols1"/>
    <w:basedOn w:val="Normal"/>
    <w:qFormat/>
    <w:rsid w:val="00402865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google.com/amp/s/docplayer.hu/amp/10582392-A-neveles-eszkozrendszere-dr-nyeki-lajos-2015.html" TargetMode="External"/><Relationship Id="rId4" Type="http://schemas.openxmlformats.org/officeDocument/2006/relationships/hyperlink" Target="http://okt.ektf.hu/data/szlahorek/file/hunline_pedpszi/16_pedagogus_mesterseg/224_a_nevels_mdszerei.html" TargetMode="External"/><Relationship Id="rId5" Type="http://schemas.openxmlformats.org/officeDocument/2006/relationships/hyperlink" Target="http://polc.ttk.pte.hu/tamop-4.1.2.b.2-13/1-2013-0014/97/a_nevelsi_mdszerek_csoportostsa_a_nevels_folyamatban_betlttt_szerepk_szerint.html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LibreOffice/6.4.7.2$Linux_X86_64 LibreOffice_project/40$Build-2</Application>
  <Pages>3</Pages>
  <Words>445</Words>
  <Characters>3452</Characters>
  <CharactersWithSpaces>3817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2021-11-25T20:50:00Z</dcterms:created>
  <dc:creator>Sarolta Tar</dc:creator>
  <dc:description/>
  <dc:language>hu-HU</dc:language>
  <cp:lastModifiedBy/>
  <dcterms:modified xsi:type="dcterms:W3CDTF">2023-02-08T19:58:50Z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