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DejaVu Sans" w:hAnsi="DejaVu Sans"/>
          <w:sz w:val="24"/>
          <w:szCs w:val="24"/>
        </w:rPr>
      </w:pPr>
      <w:r>
        <w:rPr>
          <w:rFonts w:ascii="DejaVu Sans" w:hAnsi="DejaVu Sans"/>
          <w:sz w:val="24"/>
          <w:szCs w:val="24"/>
        </w:rPr>
        <w:t xml:space="preserve">9. Ciklusszerkezet, tematika, narrációs és kompozíciós megoldások </w:t>
      </w:r>
      <w:r>
        <w:rPr>
          <w:rFonts w:ascii="DejaVu Sans" w:hAnsi="DejaVu Sans"/>
          <w:i/>
          <w:iCs/>
          <w:sz w:val="24"/>
          <w:szCs w:val="24"/>
        </w:rPr>
        <w:t>A jó palócok</w:t>
      </w:r>
      <w:r>
        <w:rPr>
          <w:rFonts w:ascii="DejaVu Sans" w:hAnsi="DejaVu Sans"/>
          <w:sz w:val="24"/>
          <w:szCs w:val="24"/>
        </w:rPr>
        <w:t>ban</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bCs/>
          <w:sz w:val="24"/>
          <w:szCs w:val="24"/>
        </w:rPr>
        <w:t>Mikszáthról</w:t>
      </w:r>
    </w:p>
    <w:p>
      <w:pPr>
        <w:pStyle w:val="Normal"/>
        <w:spacing w:lineRule="auto" w:line="360"/>
        <w:rPr>
          <w:rFonts w:ascii="DejaVu Sans" w:hAnsi="DejaVu Sans"/>
          <w:sz w:val="24"/>
          <w:szCs w:val="24"/>
        </w:rPr>
      </w:pPr>
      <w:r>
        <w:rPr>
          <w:rFonts w:ascii="DejaVu Sans" w:hAnsi="DejaVu Sans"/>
          <w:sz w:val="24"/>
          <w:szCs w:val="24"/>
        </w:rPr>
        <w:t>- 1847-1910-ig élt, tagja volt a Kisfaludy Társaságnak 83-tól, valamint később az MTA-nak is, illetve publicisztikai művekkel szerves rész volt kora irodalmi életének</w:t>
      </w:r>
    </w:p>
    <w:p>
      <w:pPr>
        <w:pStyle w:val="Normal"/>
        <w:spacing w:lineRule="auto" w:line="360"/>
        <w:rPr>
          <w:rFonts w:ascii="DejaVu Sans" w:hAnsi="DejaVu Sans"/>
          <w:sz w:val="24"/>
          <w:szCs w:val="24"/>
        </w:rPr>
      </w:pPr>
      <w:r>
        <w:rPr>
          <w:rFonts w:ascii="DejaVu Sans" w:hAnsi="DejaVu Sans"/>
          <w:sz w:val="24"/>
          <w:szCs w:val="24"/>
        </w:rPr>
        <w:t>- prózaművészete kötődik a romantikus természetfelfogáshoz, a kalandos meseszövéshez, az anekdotához (anekdotizmus), és később a realista életképhez is; számos területen újítónak bizonyul: a hagyományos műfajokat különlegesen használja, egyedi módon játszik az elbeszélésmód lehetőségeivel, felhasználja a magyar epika hagyományait, de formálja azokat</w:t>
      </w:r>
    </w:p>
    <w:p>
      <w:pPr>
        <w:pStyle w:val="Normal"/>
        <w:spacing w:lineRule="auto" w:line="360"/>
        <w:rPr>
          <w:rFonts w:ascii="DejaVu Sans" w:hAnsi="DejaVu Sans"/>
          <w:sz w:val="24"/>
          <w:szCs w:val="24"/>
        </w:rPr>
      </w:pPr>
      <w:r>
        <w:rPr>
          <w:rFonts w:ascii="DejaVu Sans" w:hAnsi="DejaVu Sans"/>
          <w:sz w:val="24"/>
          <w:szCs w:val="24"/>
        </w:rPr>
        <w:t>- változatossága, és a próza több szempontból való megközelítése, újító művészete miatt nem értelmezhető kizárólagosan egyik stílusirányzaton belül sem, árnyalatok fedezhetők fel</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bCs/>
          <w:sz w:val="24"/>
          <w:szCs w:val="24"/>
        </w:rPr>
        <w:t xml:space="preserve">Jó palócokról </w:t>
      </w:r>
    </w:p>
    <w:p>
      <w:pPr>
        <w:pStyle w:val="Normal"/>
        <w:spacing w:lineRule="auto" w:line="360"/>
        <w:rPr>
          <w:rFonts w:ascii="DejaVu Sans" w:hAnsi="DejaVu Sans"/>
          <w:sz w:val="24"/>
          <w:szCs w:val="24"/>
        </w:rPr>
      </w:pPr>
      <w:r>
        <w:rPr>
          <w:rFonts w:ascii="DejaVu Sans" w:hAnsi="DejaVu Sans"/>
          <w:sz w:val="24"/>
          <w:szCs w:val="24"/>
        </w:rPr>
        <w:t>- a mű 1882-ben jelent meg, 15 rövid darabból áll, mesei, balladai, példázatos és életképszerű elbeszélésekből, melyek a palóc hagyományokban gyökereznek – a népi hagyományok erősen hatnak a történetek cselekményeire: babonák , hiedelmek, szokások alakítják</w:t>
      </w:r>
    </w:p>
    <w:p>
      <w:pPr>
        <w:pStyle w:val="Normal"/>
        <w:spacing w:lineRule="auto" w:line="360"/>
        <w:rPr>
          <w:rFonts w:ascii="DejaVu Sans" w:hAnsi="DejaVu Sans"/>
          <w:sz w:val="24"/>
          <w:szCs w:val="24"/>
        </w:rPr>
      </w:pPr>
      <w:r>
        <w:rPr>
          <w:rFonts w:ascii="DejaVu Sans" w:hAnsi="DejaVu Sans"/>
          <w:sz w:val="24"/>
          <w:szCs w:val="24"/>
        </w:rPr>
        <w:t>- megjelennek benne stabil, világegységet összetartó összefüggések: bűn-bűnhődés pl. alapvető</w:t>
      </w:r>
    </w:p>
    <w:p>
      <w:pPr>
        <w:pStyle w:val="Normal"/>
        <w:spacing w:lineRule="auto" w:line="360"/>
        <w:rPr>
          <w:rFonts w:ascii="DejaVu Sans" w:hAnsi="DejaVu Sans"/>
          <w:sz w:val="24"/>
          <w:szCs w:val="24"/>
        </w:rPr>
      </w:pPr>
      <w:r>
        <w:rPr>
          <w:rFonts w:ascii="DejaVu Sans" w:hAnsi="DejaVu Sans"/>
          <w:sz w:val="24"/>
          <w:szCs w:val="24"/>
        </w:rPr>
        <w:t>- visszatérő témái szintén a falusi mindennapok történeteihez fűződnek; bűn-bűnhődés történetei, motívumai, szexualitás problematikái</w:t>
      </w:r>
    </w:p>
    <w:p>
      <w:pPr>
        <w:pStyle w:val="Normal"/>
        <w:spacing w:lineRule="auto" w:line="360"/>
        <w:rPr>
          <w:rFonts w:ascii="DejaVu Sans" w:hAnsi="DejaVu Sans"/>
          <w:sz w:val="24"/>
          <w:szCs w:val="24"/>
        </w:rPr>
      </w:pPr>
      <w:r>
        <w:rPr>
          <w:rFonts w:ascii="DejaVu Sans" w:hAnsi="DejaVu Sans"/>
          <w:sz w:val="24"/>
          <w:szCs w:val="24"/>
        </w:rPr>
        <w:t>- a helyszínek és szereplők visszatérő megjelenítései erősítik az egységességet a kötetben, illetve gyakran előfordul az események egymás utáni időrendisége – de ez nem a kötetbeli sorrendjük szerint rendeződik</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bCs/>
          <w:sz w:val="24"/>
          <w:szCs w:val="24"/>
        </w:rPr>
        <w:t>Ciklusszerkezet</w:t>
      </w:r>
    </w:p>
    <w:p>
      <w:pPr>
        <w:pStyle w:val="Normal"/>
        <w:spacing w:lineRule="auto" w:line="360"/>
        <w:rPr>
          <w:rFonts w:ascii="DejaVu Sans" w:hAnsi="DejaVu Sans"/>
          <w:sz w:val="24"/>
          <w:szCs w:val="24"/>
        </w:rPr>
      </w:pPr>
      <w:r>
        <w:rPr>
          <w:rFonts w:ascii="DejaVu Sans" w:hAnsi="DejaVu Sans"/>
          <w:sz w:val="24"/>
          <w:szCs w:val="24"/>
        </w:rPr>
        <w:t>- novellaciklusként értelmezve a mű egy több novellából álló kötet, melynek darabjai csak helyenként függenek össze, alapvetően nem egy idő- és helyszínláncolatot eredményeznek → ezért tekinthetjük novellafüzérnek</w:t>
      </w:r>
    </w:p>
    <w:p>
      <w:pPr>
        <w:pStyle w:val="Normal"/>
        <w:spacing w:lineRule="auto" w:line="360"/>
        <w:rPr>
          <w:rFonts w:ascii="DejaVu Sans" w:hAnsi="DejaVu Sans"/>
          <w:sz w:val="24"/>
          <w:szCs w:val="24"/>
        </w:rPr>
      </w:pPr>
      <w:r>
        <w:rPr>
          <w:rFonts w:ascii="DejaVu Sans" w:hAnsi="DejaVu Sans"/>
          <w:sz w:val="24"/>
          <w:szCs w:val="24"/>
        </w:rPr>
        <w:t>- novellák műfajilag is eltérőek: meseszerű (A néhai bárány), példázatos (Szűcs Pali szerencséje), balladisztikus (Szegény Gélyi János lovai), életképszerű (A bágyi csoda), hiedelemre épülő (Galandáné asszonyom), illetve romantikus kliséhez hasonló (Két major regénye) is előfordul benne: ez a sokszínűség is erősíti a novellaciklus jelleget</w:t>
      </w:r>
    </w:p>
    <w:p>
      <w:pPr>
        <w:pStyle w:val="Normal"/>
        <w:spacing w:lineRule="auto" w:line="360"/>
        <w:rPr>
          <w:rFonts w:ascii="DejaVu Sans" w:hAnsi="DejaVu Sans"/>
          <w:sz w:val="24"/>
          <w:szCs w:val="24"/>
        </w:rPr>
      </w:pPr>
      <w:r>
        <w:rPr>
          <w:rFonts w:ascii="DejaVu Sans" w:hAnsi="DejaVu Sans"/>
          <w:sz w:val="24"/>
          <w:szCs w:val="24"/>
        </w:rPr>
        <w:t>- az elbeszélések laza rendben követik egymást  - Vér Klára pl. a kötet 7. darabjának főszereplője, de később megjelenik a Szegény Gély Jánosban is, amely a 13. - nem követnek szigorú időrendet, illetve nem egy szorosan összefüggő történetláncolatot adnak ki; a történetek mind önmagukban állnak, fogalmaznak meg üzenetet, teljesítenek ki egy-egy műalkotást</w:t>
      </w:r>
    </w:p>
    <w:p>
      <w:pPr>
        <w:pStyle w:val="Normal"/>
        <w:spacing w:lineRule="auto" w:line="360"/>
        <w:rPr>
          <w:rFonts w:ascii="DejaVu Sans" w:hAnsi="DejaVu Sans"/>
          <w:sz w:val="24"/>
          <w:szCs w:val="24"/>
        </w:rPr>
      </w:pPr>
      <w:r>
        <w:rPr>
          <w:rFonts w:ascii="DejaVu Sans" w:hAnsi="DejaVu Sans"/>
          <w:sz w:val="24"/>
          <w:szCs w:val="24"/>
        </w:rPr>
        <w:t>- ezenkívül erősíti a novellák önállóságát, hogy jellemző rájuk a hosszú befejezés, vagy a nyitott vég – önmagukban is egy saját továbbgondolást engedő történetek, amelyeknek a későbbi történetek nem adnak magyarázatot a lezárására</w:t>
      </w:r>
    </w:p>
    <w:p>
      <w:pPr>
        <w:pStyle w:val="Normal"/>
        <w:spacing w:lineRule="auto" w:line="360"/>
        <w:rPr>
          <w:rFonts w:ascii="DejaVu Sans" w:hAnsi="DejaVu Sans"/>
          <w:sz w:val="24"/>
          <w:szCs w:val="24"/>
        </w:rPr>
      </w:pPr>
      <w:r>
        <w:rPr>
          <w:rFonts w:ascii="DejaVu Sans" w:hAnsi="DejaVu Sans"/>
          <w:sz w:val="24"/>
          <w:szCs w:val="24"/>
        </w:rPr>
        <w:t>- az összetartó kapocs valójában a palócság</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bCs/>
          <w:sz w:val="24"/>
          <w:szCs w:val="24"/>
        </w:rPr>
        <w:t>Regényszerű olvasat</w:t>
      </w:r>
    </w:p>
    <w:p>
      <w:pPr>
        <w:pStyle w:val="Normal"/>
        <w:spacing w:lineRule="auto" w:line="360"/>
        <w:rPr>
          <w:rFonts w:ascii="DejaVu Sans" w:hAnsi="DejaVu Sans"/>
          <w:sz w:val="24"/>
          <w:szCs w:val="24"/>
        </w:rPr>
      </w:pPr>
      <w:r>
        <w:rPr>
          <w:rFonts w:ascii="DejaVu Sans" w:hAnsi="DejaVu Sans"/>
          <w:sz w:val="24"/>
          <w:szCs w:val="24"/>
        </w:rPr>
        <w:t>- ugyanakkor számos közös jellemzője van a novelláknak: a szereplők gyakran visszatérnek, illetve a történetek eleve egy sajátos, archaikus térben játszódnak, egy közös szférában, hiedelemvilágban</w:t>
      </w:r>
    </w:p>
    <w:p>
      <w:pPr>
        <w:pStyle w:val="Normal"/>
        <w:spacing w:lineRule="auto" w:line="360"/>
        <w:rPr>
          <w:rFonts w:ascii="DejaVu Sans" w:hAnsi="DejaVu Sans"/>
          <w:sz w:val="24"/>
          <w:szCs w:val="24"/>
        </w:rPr>
      </w:pPr>
      <w:r>
        <w:rPr>
          <w:rFonts w:ascii="DejaVu Sans" w:hAnsi="DejaVu Sans"/>
          <w:sz w:val="24"/>
          <w:szCs w:val="24"/>
        </w:rPr>
        <w:t>- a jelen olvasójától nem áll távol ez az olvasat: a modern próza alakulástörténetében egyre jellemzőbbé vált a folytonosság hiánya, megszakítások, mozaikosság jelenik meg a regényekben, valamint az olvasás módja is megváltozott</w:t>
      </w:r>
    </w:p>
    <w:p>
      <w:pPr>
        <w:pStyle w:val="Normal"/>
        <w:spacing w:lineRule="auto" w:line="360"/>
        <w:rPr>
          <w:rFonts w:ascii="DejaVu Sans" w:hAnsi="DejaVu Sans"/>
          <w:sz w:val="24"/>
          <w:szCs w:val="24"/>
        </w:rPr>
      </w:pPr>
      <w:r>
        <w:rPr>
          <w:rFonts w:ascii="DejaVu Sans" w:hAnsi="DejaVu Sans"/>
          <w:sz w:val="24"/>
          <w:szCs w:val="24"/>
        </w:rPr>
        <w:t>- a történetdarabokat összeköti még az elbeszélésmód is: az elbeszélő szólama lírai egységet ad; a metaforikusság, a nézőpontok vegyülése és a narrátor folyamatos összegző jelenléte egységérzetet biztosít</w:t>
      </w:r>
    </w:p>
    <w:p>
      <w:pPr>
        <w:pStyle w:val="Normal"/>
        <w:spacing w:lineRule="auto" w:line="360"/>
        <w:rPr>
          <w:rFonts w:ascii="DejaVu Sans" w:hAnsi="DejaVu Sans"/>
          <w:sz w:val="24"/>
          <w:szCs w:val="24"/>
        </w:rPr>
      </w:pPr>
      <w:r>
        <w:rPr>
          <w:rFonts w:ascii="DejaVu Sans" w:hAnsi="DejaVu Sans"/>
          <w:sz w:val="24"/>
          <w:szCs w:val="24"/>
        </w:rPr>
        <w:t>- ezenkívül a szereplők megformálása is általánosságot jelez: a szereplők nem egyénítettek, inkább bizonyos archetípusokat jelenítenek meg: P</w:t>
      </w:r>
      <w:r>
        <w:rPr>
          <w:rFonts w:ascii="DejaVu Sans" w:hAnsi="DejaVu Sans"/>
          <w:i/>
          <w:iCs/>
          <w:sz w:val="24"/>
          <w:szCs w:val="24"/>
        </w:rPr>
        <w:t>éri lányok szép hajáról</w:t>
      </w:r>
      <w:r>
        <w:rPr>
          <w:rFonts w:ascii="DejaVu Sans" w:hAnsi="DejaVu Sans"/>
          <w:sz w:val="24"/>
          <w:szCs w:val="24"/>
        </w:rPr>
        <w:t>ban a lány ártatlansága, szerelme, stb.</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bCs/>
          <w:sz w:val="24"/>
          <w:szCs w:val="24"/>
        </w:rPr>
        <w:t>Narráció</w:t>
      </w:r>
    </w:p>
    <w:p>
      <w:pPr>
        <w:pStyle w:val="Normal"/>
        <w:spacing w:lineRule="auto" w:line="360"/>
        <w:rPr>
          <w:rFonts w:ascii="DejaVu Sans" w:hAnsi="DejaVu Sans"/>
          <w:sz w:val="24"/>
          <w:szCs w:val="24"/>
        </w:rPr>
      </w:pPr>
      <w:r>
        <w:rPr>
          <w:rFonts w:ascii="DejaVu Sans" w:hAnsi="DejaVu Sans"/>
          <w:sz w:val="24"/>
          <w:szCs w:val="24"/>
        </w:rPr>
        <w:t>- Mikszáth prózapoétikájának fontos jellemzője a nézőpontokkal való játék: (</w:t>
      </w:r>
      <w:r>
        <w:rPr>
          <w:rFonts w:ascii="DejaVu Sans" w:hAnsi="DejaVu Sans"/>
          <w:i/>
          <w:iCs/>
          <w:sz w:val="24"/>
          <w:szCs w:val="24"/>
        </w:rPr>
        <w:t>Gélyi János</w:t>
      </w:r>
      <w:r>
        <w:rPr>
          <w:rFonts w:ascii="DejaVu Sans" w:hAnsi="DejaVu Sans"/>
          <w:sz w:val="24"/>
          <w:szCs w:val="24"/>
        </w:rPr>
        <w:t>)</w:t>
      </w:r>
    </w:p>
    <w:p>
      <w:pPr>
        <w:pStyle w:val="Normal"/>
        <w:spacing w:lineRule="auto" w:line="360"/>
        <w:rPr>
          <w:rFonts w:ascii="DejaVu Sans" w:hAnsi="DejaVu Sans"/>
          <w:sz w:val="24"/>
          <w:szCs w:val="24"/>
        </w:rPr>
      </w:pPr>
      <w:r>
        <w:rPr>
          <w:rFonts w:ascii="DejaVu Sans" w:hAnsi="DejaVu Sans"/>
          <w:sz w:val="24"/>
          <w:szCs w:val="24"/>
        </w:rPr>
        <w:tab/>
        <w:t>-  „</w:t>
      </w:r>
      <w:r>
        <w:rPr>
          <w:rFonts w:ascii="DejaVu Sans" w:hAnsi="DejaVu Sans"/>
          <w:i/>
          <w:iCs/>
          <w:sz w:val="24"/>
          <w:szCs w:val="24"/>
        </w:rPr>
        <w:t>észreveszik...hogyne...”</w:t>
      </w:r>
      <w:r>
        <w:rPr>
          <w:rFonts w:ascii="DejaVu Sans" w:hAnsi="DejaVu Sans"/>
          <w:sz w:val="24"/>
          <w:szCs w:val="24"/>
        </w:rPr>
        <w:t xml:space="preserve"> → mesemondó hangsúlyos jelenlétét mutatja</w:t>
      </w:r>
    </w:p>
    <w:p>
      <w:pPr>
        <w:pStyle w:val="Normal"/>
        <w:spacing w:lineRule="auto" w:line="360"/>
        <w:rPr>
          <w:rFonts w:ascii="DejaVu Sans" w:hAnsi="DejaVu Sans"/>
          <w:sz w:val="24"/>
          <w:szCs w:val="24"/>
        </w:rPr>
      </w:pPr>
      <w:r>
        <w:rPr>
          <w:rFonts w:ascii="DejaVu Sans" w:hAnsi="DejaVu Sans"/>
          <w:sz w:val="24"/>
          <w:szCs w:val="24"/>
        </w:rPr>
        <w:tab/>
        <w:t>- „</w:t>
      </w:r>
      <w:r>
        <w:rPr>
          <w:rFonts w:ascii="DejaVu Sans" w:hAnsi="DejaVu Sans"/>
          <w:i/>
          <w:iCs/>
          <w:sz w:val="24"/>
          <w:szCs w:val="24"/>
        </w:rPr>
        <w:t>szóba rakják”</w:t>
      </w:r>
      <w:r>
        <w:rPr>
          <w:rFonts w:ascii="DejaVu Sans" w:hAnsi="DejaVu Sans"/>
          <w:sz w:val="24"/>
          <w:szCs w:val="24"/>
        </w:rPr>
        <w:t xml:space="preserve"> → beszél az asszonyokról, akik pletykálnak, de érzékelteti, hogy az ő nézőpontjukból is látja a történetet</w:t>
      </w:r>
    </w:p>
    <w:p>
      <w:pPr>
        <w:pStyle w:val="Normal"/>
        <w:spacing w:lineRule="auto" w:line="360"/>
        <w:rPr>
          <w:rFonts w:ascii="DejaVu Sans" w:hAnsi="DejaVu Sans"/>
          <w:sz w:val="24"/>
          <w:szCs w:val="24"/>
        </w:rPr>
      </w:pPr>
      <w:r>
        <w:rPr>
          <w:rFonts w:ascii="DejaVu Sans" w:hAnsi="DejaVu Sans"/>
          <w:sz w:val="24"/>
          <w:szCs w:val="24"/>
        </w:rPr>
        <w:tab/>
        <w:t>- „</w:t>
      </w:r>
      <w:r>
        <w:rPr>
          <w:rFonts w:ascii="DejaVu Sans" w:hAnsi="DejaVu Sans"/>
          <w:i/>
          <w:iCs/>
          <w:sz w:val="24"/>
          <w:szCs w:val="24"/>
        </w:rPr>
        <w:t>s amit nyelvük érint, nyomban feketébb lesz</w:t>
      </w:r>
      <w:r>
        <w:rPr>
          <w:rFonts w:ascii="DejaVu Sans" w:hAnsi="DejaVu Sans"/>
          <w:sz w:val="24"/>
          <w:szCs w:val="24"/>
        </w:rPr>
        <w:t xml:space="preserve">” → értékel és ironizál az elbeszélő, belehelyezkedik a közösség beszédmódjába </w:t>
      </w:r>
    </w:p>
    <w:p>
      <w:pPr>
        <w:pStyle w:val="Normal"/>
        <w:spacing w:lineRule="auto" w:line="360"/>
        <w:rPr>
          <w:rFonts w:ascii="DejaVu Sans" w:hAnsi="DejaVu Sans"/>
          <w:sz w:val="24"/>
          <w:szCs w:val="24"/>
        </w:rPr>
      </w:pPr>
      <w:r>
        <w:rPr>
          <w:rFonts w:ascii="DejaVu Sans" w:hAnsi="DejaVu Sans"/>
          <w:sz w:val="24"/>
          <w:szCs w:val="24"/>
        </w:rPr>
        <w:tab/>
        <w:t>- „</w:t>
      </w:r>
      <w:r>
        <w:rPr>
          <w:rFonts w:ascii="DejaVu Sans" w:hAnsi="DejaVu Sans"/>
          <w:i/>
          <w:iCs/>
          <w:sz w:val="24"/>
          <w:szCs w:val="24"/>
        </w:rPr>
        <w:t>mozogni fog itt a garat estére</w:t>
      </w:r>
      <w:r>
        <w:rPr>
          <w:rFonts w:ascii="DejaVu Sans" w:hAnsi="DejaVu Sans"/>
          <w:sz w:val="24"/>
          <w:szCs w:val="24"/>
        </w:rPr>
        <w:t>” → előreutalás, és szexuális tartalom, utalás, egy külső szemlélő irányából</w:t>
      </w:r>
    </w:p>
    <w:p>
      <w:pPr>
        <w:pStyle w:val="Normal"/>
        <w:spacing w:lineRule="auto" w:line="360"/>
        <w:rPr>
          <w:rFonts w:ascii="DejaVu Sans" w:hAnsi="DejaVu Sans"/>
          <w:sz w:val="24"/>
          <w:szCs w:val="24"/>
        </w:rPr>
      </w:pPr>
      <w:r>
        <w:rPr>
          <w:rFonts w:ascii="DejaVu Sans" w:hAnsi="DejaVu Sans"/>
          <w:sz w:val="24"/>
          <w:szCs w:val="24"/>
        </w:rPr>
        <w:t>- a történetet nem csak az elbeszélő irányítja, meséli el: gyakorlatilag maguk a szereplők is alakítják a folyamot, beszélgetésekben formálják a cselekményt: ez a szereplők legjellemzőbb tevékenysége</w:t>
      </w:r>
    </w:p>
    <w:p>
      <w:pPr>
        <w:pStyle w:val="Normal"/>
        <w:spacing w:lineRule="auto" w:line="360"/>
        <w:rPr>
          <w:rFonts w:ascii="DejaVu Sans" w:hAnsi="DejaVu Sans"/>
          <w:sz w:val="24"/>
          <w:szCs w:val="24"/>
        </w:rPr>
      </w:pPr>
      <w:r>
        <w:rPr>
          <w:rFonts w:ascii="DejaVu Sans" w:hAnsi="DejaVu Sans"/>
          <w:sz w:val="24"/>
          <w:szCs w:val="24"/>
        </w:rPr>
        <w:t>- gyakran nem különíthető el az elbeszélő szólama valamelyik szereplő/több szereplő nézőpontjából egy általánosabb hangtól; a narrátor jelenléte a szövegben nyomatékot kap, mindig jelen van az olvasás folyamata során</w:t>
      </w:r>
    </w:p>
    <w:p>
      <w:pPr>
        <w:pStyle w:val="Normal"/>
        <w:spacing w:lineRule="auto" w:line="360"/>
        <w:rPr>
          <w:rFonts w:ascii="DejaVu Sans" w:hAnsi="DejaVu Sans"/>
          <w:sz w:val="24"/>
          <w:szCs w:val="24"/>
        </w:rPr>
      </w:pPr>
      <w:r>
        <w:rPr>
          <w:rFonts w:ascii="DejaVu Sans" w:hAnsi="DejaVu Sans"/>
          <w:sz w:val="24"/>
          <w:szCs w:val="24"/>
        </w:rPr>
        <w:t>- általában a szabad függő beszéd jellemzi – összecsúszik a külső szemlélő elbeszélő és a szereplő szólama: azt az olvasói benyomást kelti, hogy a narrátor jól ismeri a világot, otthonosan mozog benne</w:t>
      </w:r>
    </w:p>
    <w:p>
      <w:pPr>
        <w:pStyle w:val="Normal"/>
        <w:spacing w:lineRule="auto" w:line="360"/>
        <w:rPr>
          <w:rFonts w:ascii="DejaVu Sans" w:hAnsi="DejaVu Sans"/>
          <w:sz w:val="24"/>
          <w:szCs w:val="24"/>
        </w:rPr>
      </w:pPr>
      <w:r>
        <w:rPr>
          <w:rFonts w:ascii="DejaVu Sans" w:hAnsi="DejaVu Sans"/>
          <w:sz w:val="24"/>
          <w:szCs w:val="24"/>
        </w:rPr>
        <w:t>- mellőzi a bemutatást, az olvasót is a közösség részeként kezeli, ismerősként a novellavilágban, és nem mesél el mindent részletesen, így pl. nem tér ki a lelkiállapotokra, gondolatok, indulatok feltárására</w:t>
      </w:r>
    </w:p>
    <w:p>
      <w:pPr>
        <w:pStyle w:val="Normal"/>
        <w:spacing w:lineRule="auto" w:line="360"/>
        <w:rPr>
          <w:rFonts w:ascii="DejaVu Sans" w:hAnsi="DejaVu Sans"/>
          <w:sz w:val="24"/>
          <w:szCs w:val="24"/>
        </w:rPr>
      </w:pPr>
      <w:r>
        <w:rPr>
          <w:rFonts w:ascii="DejaVu Sans" w:hAnsi="DejaVu Sans"/>
          <w:sz w:val="24"/>
          <w:szCs w:val="24"/>
        </w:rPr>
        <w:t xml:space="preserve">→ </w:t>
      </w:r>
      <w:r>
        <w:rPr>
          <w:rFonts w:ascii="DejaVu Sans" w:hAnsi="DejaVu Sans"/>
          <w:sz w:val="24"/>
          <w:szCs w:val="24"/>
        </w:rPr>
        <w:t>korlátozott mindentudás jellemzi a narrátort: csak sejteti az okokat és célokat, az „üres” részek értelmezését, kitöltését szintén az olvasóra, annak képzeletére és élettapasztalataiból való következtetéseire hagyja</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bCs/>
          <w:sz w:val="24"/>
          <w:szCs w:val="24"/>
        </w:rPr>
        <w:t>Kompozíciós megoldások</w:t>
      </w:r>
    </w:p>
    <w:p>
      <w:pPr>
        <w:pStyle w:val="Normal"/>
        <w:spacing w:lineRule="auto" w:line="360"/>
        <w:rPr>
          <w:rFonts w:ascii="DejaVu Sans" w:hAnsi="DejaVu Sans"/>
          <w:sz w:val="24"/>
          <w:szCs w:val="24"/>
        </w:rPr>
      </w:pPr>
      <w:r>
        <w:rPr>
          <w:rFonts w:ascii="DejaVu Sans" w:hAnsi="DejaVu Sans"/>
          <w:sz w:val="24"/>
          <w:szCs w:val="24"/>
        </w:rPr>
        <w:t>- Mikszáth fontos és egyedi eszköze az anekdotizmus, amely a J</w:t>
      </w:r>
      <w:r>
        <w:rPr>
          <w:rFonts w:ascii="DejaVu Sans" w:hAnsi="DejaVu Sans"/>
          <w:i/>
          <w:iCs/>
          <w:sz w:val="24"/>
          <w:szCs w:val="24"/>
        </w:rPr>
        <w:t>ó palócok</w:t>
      </w:r>
      <w:r>
        <w:rPr>
          <w:rFonts w:ascii="DejaVu Sans" w:hAnsi="DejaVu Sans"/>
          <w:sz w:val="24"/>
          <w:szCs w:val="24"/>
        </w:rPr>
        <w:t>ban jól tetten érhető: a történetek középpontjában mindig 1-1 anekdota áll. A műfajhoz köthető szóbeli elbeszélésmód hagyományára rájátszva teszi az egész művet élőbeszédszerűvé</w:t>
      </w:r>
    </w:p>
    <w:p>
      <w:pPr>
        <w:pStyle w:val="Normal"/>
        <w:spacing w:lineRule="auto" w:line="360"/>
        <w:rPr>
          <w:rFonts w:ascii="DejaVu Sans" w:hAnsi="DejaVu Sans"/>
          <w:sz w:val="24"/>
          <w:szCs w:val="24"/>
        </w:rPr>
      </w:pPr>
      <w:r>
        <w:rPr>
          <w:rFonts w:ascii="DejaVu Sans" w:hAnsi="DejaVu Sans"/>
          <w:sz w:val="24"/>
          <w:szCs w:val="24"/>
        </w:rPr>
        <w:t>- az újfajta narráció egy legendafűzért alkot, amely nyitottá és bővíthetővé teszi a hosszú művet: az elbeszéléskötet részei úgy állnak össze egésszé, hogy egy alapvető anekdotarendszer ismeretét feltételezik: nagyobb olvasói aktivitást várnak el</w:t>
      </w:r>
    </w:p>
    <w:p>
      <w:pPr>
        <w:pStyle w:val="Normal"/>
        <w:spacing w:lineRule="auto" w:line="360"/>
        <w:rPr>
          <w:rFonts w:ascii="DejaVu Sans" w:hAnsi="DejaVu Sans"/>
          <w:sz w:val="24"/>
          <w:szCs w:val="24"/>
        </w:rPr>
      </w:pPr>
      <w:r>
        <w:rPr>
          <w:rFonts w:ascii="DejaVu Sans" w:hAnsi="DejaVu Sans"/>
          <w:sz w:val="24"/>
          <w:szCs w:val="24"/>
        </w:rPr>
        <w:t>- a történetfolyam szaggatott: ez az elhagyások, kihagyások eszközének használatából adódik</w:t>
      </w:r>
    </w:p>
    <w:p>
      <w:pPr>
        <w:pStyle w:val="Normal"/>
        <w:spacing w:lineRule="auto" w:line="360"/>
        <w:rPr>
          <w:rFonts w:ascii="DejaVu Sans" w:hAnsi="DejaVu Sans"/>
          <w:sz w:val="24"/>
          <w:szCs w:val="24"/>
        </w:rPr>
      </w:pPr>
      <w:r>
        <w:rPr>
          <w:rFonts w:ascii="DejaVu Sans" w:hAnsi="DejaVu Sans"/>
          <w:sz w:val="24"/>
          <w:szCs w:val="24"/>
        </w:rPr>
        <w:t>- gyakoriak az előremutatások, utalások</w:t>
      </w:r>
    </w:p>
    <w:p>
      <w:pPr>
        <w:pStyle w:val="Normal"/>
        <w:spacing w:lineRule="auto" w:line="360"/>
        <w:rPr>
          <w:rFonts w:ascii="DejaVu Sans" w:hAnsi="DejaVu Sans"/>
          <w:sz w:val="24"/>
          <w:szCs w:val="24"/>
        </w:rPr>
      </w:pPr>
      <w:r>
        <w:rPr>
          <w:rFonts w:ascii="DejaVu Sans" w:hAnsi="DejaVu Sans"/>
          <w:sz w:val="24"/>
          <w:szCs w:val="24"/>
        </w:rPr>
        <w:t>- az egész novellafüzérre jellemző egy motivikus hálózat; madár, érett kalász, eltört korsó jelképei egységességet adnak, lehet belőlük következtetni a cselekmény alakulására minden esetben</w:t>
      </w:r>
    </w:p>
    <w:p>
      <w:pPr>
        <w:pStyle w:val="Normal"/>
        <w:spacing w:lineRule="auto" w:line="360"/>
        <w:rPr>
          <w:rFonts w:ascii="DejaVu Sans" w:hAnsi="DejaVu Sans"/>
          <w:sz w:val="24"/>
          <w:szCs w:val="24"/>
        </w:rPr>
      </w:pPr>
      <w:r>
        <w:rPr>
          <w:rFonts w:ascii="DejaVu Sans" w:hAnsi="DejaVu Sans"/>
          <w:sz w:val="24"/>
          <w:szCs w:val="24"/>
        </w:rPr>
        <w:t>- a kompozíció nem függ az időrendiségtől, nem sorban haladnak az események</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hu-H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Liberation Serif" w:hAnsi="Liberation Serif" w:eastAsia="Noto Sans CJK SC Regular" w:cs="FreeSans"/>
      <w:color w:val="auto"/>
      <w:kern w:val="0"/>
      <w:sz w:val="24"/>
      <w:szCs w:val="24"/>
      <w:lang w:val="hu-HU" w:eastAsia="zh-CN" w:bidi="hi-IN"/>
    </w:rPr>
  </w:style>
  <w:style w:type="character" w:styleId="DefaultParagraphFont" w:default="1">
    <w:name w:val="Default Paragraph Font"/>
    <w:uiPriority w:val="1"/>
    <w:unhideWhenUsed/>
    <w:qFormat/>
    <w:rPr/>
  </w:style>
  <w:style w:type="character" w:styleId="Hangslyozs" w:customStyle="1">
    <w:name w:val="Hangsúlyozás"/>
    <w:basedOn w:val="DefaultParagraphFont"/>
    <w:uiPriority w:val="20"/>
    <w:qFormat/>
    <w:rsid w:val="004d2a33"/>
    <w:rPr>
      <w:i/>
      <w:iCs/>
    </w:rPr>
  </w:style>
  <w:style w:type="paragraph" w:styleId="Cmsor" w:customStyle="1">
    <w:name w:val="Címsor"/>
    <w:basedOn w:val="Normal"/>
    <w:next w:val="Szvegtrzs"/>
    <w:qFormat/>
    <w:pPr>
      <w:keepNext w:val="true"/>
      <w:spacing w:before="240" w:after="120"/>
    </w:pPr>
    <w:rPr>
      <w:rFonts w:ascii="Liberation Sans" w:hAnsi="Liberation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style>
  <w:style w:type="paragraph" w:styleId="Felirat">
    <w:name w:val="Caption"/>
    <w:basedOn w:val="Normal"/>
    <w:qFormat/>
    <w:pPr>
      <w:suppressLineNumbers/>
      <w:spacing w:before="120" w:after="120"/>
    </w:pPr>
    <w:rPr>
      <w:rFonts w:cs="Lohit Devanagari"/>
      <w:i/>
      <w:iCs/>
      <w:sz w:val="24"/>
      <w:szCs w:val="24"/>
    </w:rPr>
  </w:style>
  <w:style w:type="paragraph" w:styleId="Trgymutat" w:customStyle="1">
    <w:name w:val="Tárgymutató"/>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69EA-19E1-494D-B35C-554B66C1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4</Pages>
  <Words>798</Words>
  <Characters>5249</Characters>
  <CharactersWithSpaces>6020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2020-03-18T11:24:00Z</dcterms:created>
  <dc:creator>Kertesz Fanni</dc:creator>
  <dc:description/>
  <dc:language>hu-HU</dc:language>
  <cp:lastModifiedBy/>
  <dcterms:modified xsi:type="dcterms:W3CDTF">2023-03-23T15:22:21Z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